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734075" w14:textId="78A29949" w:rsidR="00A26C7E" w:rsidRDefault="00E44C2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1"/>
      </w:tblGrid>
      <w:tr w:rsidR="000142FC" w:rsidRPr="00030D63" w14:paraId="1C7A362A" w14:textId="77777777" w:rsidTr="00C33D2A">
        <w:tc>
          <w:tcPr>
            <w:tcW w:w="8411" w:type="dxa"/>
          </w:tcPr>
          <w:p w14:paraId="5745CD7B" w14:textId="77777777" w:rsidR="000142FC" w:rsidRPr="00030D63" w:rsidRDefault="000142FC" w:rsidP="00C33D2A">
            <w:pPr>
              <w:rPr>
                <w:lang w:val="es-ES"/>
              </w:rPr>
            </w:pPr>
            <w:r w:rsidRPr="00030D63">
              <w:rPr>
                <w:b/>
                <w:bCs/>
                <w:lang w:val="es-ES"/>
              </w:rPr>
              <w:t>Nombre del Proyecto:</w:t>
            </w:r>
            <w:r w:rsidRPr="00030D63">
              <w:rPr>
                <w:lang w:val="es-ES"/>
              </w:rPr>
              <w:t xml:space="preserve"> </w:t>
            </w:r>
          </w:p>
          <w:p w14:paraId="2BE8C92B" w14:textId="77777777" w:rsidR="000142FC" w:rsidRPr="00030D63" w:rsidRDefault="000142FC" w:rsidP="00C33D2A">
            <w:pPr>
              <w:rPr>
                <w:lang w:val="es-ES"/>
              </w:rPr>
            </w:pPr>
            <w:r w:rsidRPr="008E5718">
              <w:rPr>
                <w:lang w:val="es-ES"/>
              </w:rPr>
              <w:t>AMPLIACIÓN ACUEDUCTO ORIENTAL Y TRASVASE A LA ZONA NORTE, MUNICIPIO DE SANTO DOMINGO ESTE</w:t>
            </w:r>
          </w:p>
        </w:tc>
      </w:tr>
      <w:tr w:rsidR="00D51FB7" w:rsidRPr="00030D63" w14:paraId="1FDDA7AB" w14:textId="77777777" w:rsidTr="00C33D2A">
        <w:tc>
          <w:tcPr>
            <w:tcW w:w="8411" w:type="dxa"/>
          </w:tcPr>
          <w:p w14:paraId="41922D38" w14:textId="58E42C3E" w:rsidR="00D51FB7" w:rsidRPr="00D51FB7" w:rsidRDefault="00D51FB7" w:rsidP="00C33D2A">
            <w:pPr>
              <w:jc w:val="both"/>
              <w:rPr>
                <w:b/>
                <w:bCs/>
              </w:rPr>
            </w:pPr>
            <w:r>
              <w:rPr>
                <w:b/>
                <w:bCs/>
              </w:rPr>
              <w:t xml:space="preserve">Inicio: </w:t>
            </w:r>
            <w:r w:rsidR="00876294" w:rsidRPr="00876294">
              <w:rPr>
                <w:bCs/>
              </w:rPr>
              <w:t xml:space="preserve">2016 </w:t>
            </w:r>
            <w:r w:rsidR="00876294">
              <w:rPr>
                <w:b/>
                <w:bCs/>
              </w:rPr>
              <w:t xml:space="preserve">                                                Fin: </w:t>
            </w:r>
            <w:r w:rsidR="00876294" w:rsidRPr="00876294">
              <w:rPr>
                <w:bCs/>
              </w:rPr>
              <w:t>202</w:t>
            </w:r>
            <w:r w:rsidR="00876294">
              <w:rPr>
                <w:bCs/>
              </w:rPr>
              <w:t>0</w:t>
            </w:r>
            <w:bookmarkStart w:id="0" w:name="_GoBack"/>
            <w:bookmarkEnd w:id="0"/>
          </w:p>
        </w:tc>
      </w:tr>
      <w:tr w:rsidR="000142FC" w:rsidRPr="00030D63" w14:paraId="22C3A7E7" w14:textId="77777777" w:rsidTr="00C33D2A">
        <w:tc>
          <w:tcPr>
            <w:tcW w:w="8411" w:type="dxa"/>
          </w:tcPr>
          <w:p w14:paraId="177C9DEF" w14:textId="77777777" w:rsidR="000142FC" w:rsidRPr="00030D63" w:rsidRDefault="000142FC" w:rsidP="00C33D2A">
            <w:pPr>
              <w:jc w:val="both"/>
              <w:rPr>
                <w:b/>
                <w:bCs/>
                <w:lang w:val="es-ES"/>
              </w:rPr>
            </w:pPr>
            <w:r w:rsidRPr="00030D63">
              <w:rPr>
                <w:b/>
                <w:bCs/>
                <w:lang w:val="es-ES"/>
              </w:rPr>
              <w:t xml:space="preserve">Estado del proyecto:      Nuevo </w:t>
            </w:r>
            <w:r w:rsidRPr="00874617">
              <w:rPr>
                <w:bCs/>
                <w:lang w:val="es-ES"/>
              </w:rPr>
              <w:t xml:space="preserve">X    </w:t>
            </w:r>
            <w:r w:rsidRPr="00030D63">
              <w:rPr>
                <w:b/>
                <w:bCs/>
                <w:lang w:val="es-ES"/>
              </w:rPr>
              <w:t xml:space="preserve">              Arrastre  </w:t>
            </w:r>
          </w:p>
        </w:tc>
      </w:tr>
      <w:tr w:rsidR="000142FC" w:rsidRPr="00030D63" w14:paraId="6FAD5E15" w14:textId="77777777" w:rsidTr="00C33D2A">
        <w:tc>
          <w:tcPr>
            <w:tcW w:w="8411" w:type="dxa"/>
          </w:tcPr>
          <w:p w14:paraId="470D06BC" w14:textId="77777777" w:rsidR="000142FC" w:rsidRDefault="000142FC" w:rsidP="00C33D2A">
            <w:pPr>
              <w:jc w:val="both"/>
              <w:rPr>
                <w:b/>
                <w:bCs/>
                <w:lang w:val="es-ES"/>
              </w:rPr>
            </w:pPr>
            <w:r>
              <w:rPr>
                <w:b/>
                <w:bCs/>
                <w:lang w:val="es-ES"/>
              </w:rPr>
              <w:t>Descripción del Proyecto:</w:t>
            </w:r>
          </w:p>
          <w:p w14:paraId="59C82E84" w14:textId="77777777" w:rsidR="000142FC" w:rsidRPr="00A06DE0" w:rsidRDefault="000142FC" w:rsidP="00C33D2A">
            <w:pPr>
              <w:jc w:val="both"/>
              <w:rPr>
                <w:bCs/>
                <w:lang w:val="es-ES"/>
              </w:rPr>
            </w:pPr>
            <w:r w:rsidRPr="00A06DE0">
              <w:rPr>
                <w:bCs/>
                <w:lang w:val="es-ES"/>
              </w:rPr>
              <w:t>El proyecto consiste en la ampliación del acueducto del municipio de Santo Domingo Este, el cual contempla la construcción de un nuevo módulo de tratamiento en el sistema Barrera para así adicionar 2 m3/s a la producción diaria de los cuales 1 m3/s será derivado para reforzar el abastecimiento del municipio de Santo Domingo Norte; la construcción de 3 depósitos reguladores de 8 Millones de Galones cada uno y la colocación de más de 41 km de redes de distintos diámetros para así brindar un abastecimiento continuo y de calidad, así como cubrir con la demanda de agua potable en el municipio por los próximos 25 años.</w:t>
            </w:r>
          </w:p>
        </w:tc>
      </w:tr>
      <w:tr w:rsidR="000142FC" w:rsidRPr="00030D63" w14:paraId="002CFE37" w14:textId="77777777" w:rsidTr="00C33D2A">
        <w:tc>
          <w:tcPr>
            <w:tcW w:w="8411" w:type="dxa"/>
          </w:tcPr>
          <w:p w14:paraId="68FF4D8D" w14:textId="77777777" w:rsidR="000142FC" w:rsidRDefault="000142FC" w:rsidP="00C33D2A">
            <w:pPr>
              <w:jc w:val="both"/>
              <w:rPr>
                <w:b/>
                <w:bCs/>
                <w:lang w:val="es-ES"/>
              </w:rPr>
            </w:pPr>
            <w:r>
              <w:rPr>
                <w:b/>
                <w:bCs/>
                <w:lang w:val="es-ES"/>
              </w:rPr>
              <w:t>Objetivos del Proyecto:</w:t>
            </w:r>
          </w:p>
          <w:p w14:paraId="254F193A" w14:textId="77777777" w:rsidR="000142FC" w:rsidRPr="00030D63" w:rsidRDefault="000142FC" w:rsidP="00C33D2A">
            <w:pPr>
              <w:rPr>
                <w:b/>
                <w:lang w:val="es-ES"/>
              </w:rPr>
            </w:pPr>
            <w:r>
              <w:rPr>
                <w:b/>
                <w:lang w:val="es-ES"/>
              </w:rPr>
              <w:t>Objetivo General</w:t>
            </w:r>
            <w:r w:rsidRPr="00030D63">
              <w:rPr>
                <w:b/>
                <w:lang w:val="es-ES"/>
              </w:rPr>
              <w:t>:</w:t>
            </w:r>
          </w:p>
          <w:p w14:paraId="66879B56" w14:textId="77777777" w:rsidR="000142FC" w:rsidRPr="00030D63" w:rsidRDefault="000142FC" w:rsidP="00C33D2A">
            <w:pPr>
              <w:jc w:val="both"/>
              <w:rPr>
                <w:lang w:val="es-ES"/>
              </w:rPr>
            </w:pPr>
            <w:r w:rsidRPr="00A23A4D">
              <w:rPr>
                <w:lang w:val="es-ES"/>
              </w:rPr>
              <w:t>Proporcionar un servicio de distribución de agua potable eficiente</w:t>
            </w:r>
            <w:r>
              <w:rPr>
                <w:lang w:val="es-ES"/>
              </w:rPr>
              <w:t xml:space="preserve"> en los municipios de Santo Domingo Este y Norte</w:t>
            </w:r>
            <w:r w:rsidRPr="00030D63">
              <w:rPr>
                <w:lang w:val="es-ES"/>
              </w:rPr>
              <w:t>.</w:t>
            </w:r>
          </w:p>
          <w:p w14:paraId="7B5F2734" w14:textId="77777777" w:rsidR="000142FC" w:rsidRPr="00030D63" w:rsidRDefault="000142FC" w:rsidP="00C33D2A">
            <w:pPr>
              <w:rPr>
                <w:b/>
                <w:lang w:val="es-ES"/>
              </w:rPr>
            </w:pPr>
            <w:r w:rsidRPr="00030D63">
              <w:rPr>
                <w:b/>
                <w:lang w:val="es-ES"/>
              </w:rPr>
              <w:t>Objetivos específicos:</w:t>
            </w:r>
          </w:p>
          <w:p w14:paraId="0C6FE47D" w14:textId="77777777" w:rsidR="000142FC" w:rsidRPr="00A23A4D" w:rsidRDefault="000142FC" w:rsidP="00C33D2A">
            <w:pPr>
              <w:widowControl w:val="0"/>
              <w:numPr>
                <w:ilvl w:val="0"/>
                <w:numId w:val="1"/>
              </w:numPr>
              <w:autoSpaceDE w:val="0"/>
              <w:autoSpaceDN w:val="0"/>
              <w:adjustRightInd w:val="0"/>
              <w:spacing w:after="0" w:line="240" w:lineRule="auto"/>
              <w:contextualSpacing/>
              <w:jc w:val="both"/>
            </w:pPr>
            <w:r w:rsidRPr="00A23A4D">
              <w:t>Colocar redes de distribución de agua potable en zonas sin servicio</w:t>
            </w:r>
          </w:p>
          <w:p w14:paraId="3B9D46C8" w14:textId="77777777" w:rsidR="000142FC" w:rsidRPr="00A23A4D" w:rsidRDefault="000142FC" w:rsidP="00C33D2A">
            <w:pPr>
              <w:widowControl w:val="0"/>
              <w:numPr>
                <w:ilvl w:val="0"/>
                <w:numId w:val="1"/>
              </w:numPr>
              <w:autoSpaceDE w:val="0"/>
              <w:autoSpaceDN w:val="0"/>
              <w:adjustRightInd w:val="0"/>
              <w:spacing w:after="0" w:line="240" w:lineRule="auto"/>
              <w:contextualSpacing/>
              <w:jc w:val="both"/>
            </w:pPr>
            <w:r w:rsidRPr="00A23A4D">
              <w:t xml:space="preserve">Sectorizar las redes de distribución </w:t>
            </w:r>
          </w:p>
          <w:p w14:paraId="1BB1496A" w14:textId="77777777" w:rsidR="000142FC" w:rsidRPr="00A23A4D" w:rsidRDefault="000142FC" w:rsidP="00C33D2A">
            <w:pPr>
              <w:widowControl w:val="0"/>
              <w:numPr>
                <w:ilvl w:val="0"/>
                <w:numId w:val="1"/>
              </w:numPr>
              <w:autoSpaceDE w:val="0"/>
              <w:autoSpaceDN w:val="0"/>
              <w:adjustRightInd w:val="0"/>
              <w:spacing w:after="0" w:line="240" w:lineRule="auto"/>
              <w:contextualSpacing/>
              <w:jc w:val="both"/>
            </w:pPr>
            <w:r w:rsidRPr="00A23A4D">
              <w:t>Sustitución de red de distribución obsoletas, obstruidas o averiadas</w:t>
            </w:r>
          </w:p>
          <w:p w14:paraId="7B5A2A6A" w14:textId="77777777" w:rsidR="000142FC" w:rsidRPr="00A23A4D" w:rsidRDefault="000142FC" w:rsidP="00C33D2A">
            <w:pPr>
              <w:widowControl w:val="0"/>
              <w:numPr>
                <w:ilvl w:val="0"/>
                <w:numId w:val="1"/>
              </w:numPr>
              <w:autoSpaceDE w:val="0"/>
              <w:autoSpaceDN w:val="0"/>
              <w:adjustRightInd w:val="0"/>
              <w:spacing w:after="0" w:line="240" w:lineRule="auto"/>
              <w:contextualSpacing/>
              <w:jc w:val="both"/>
            </w:pPr>
            <w:r w:rsidRPr="00A23A4D">
              <w:t>Construcción de acometidas de agua potables y colocación de medidores de consumo para ampliación de la cobertura de servicio de agua potable</w:t>
            </w:r>
          </w:p>
          <w:p w14:paraId="4D1A2C94" w14:textId="77777777" w:rsidR="000142FC" w:rsidRPr="00030D63" w:rsidRDefault="000142FC" w:rsidP="00C33D2A">
            <w:pPr>
              <w:jc w:val="both"/>
              <w:rPr>
                <w:b/>
                <w:bCs/>
                <w:lang w:val="es-ES"/>
              </w:rPr>
            </w:pPr>
          </w:p>
        </w:tc>
      </w:tr>
      <w:tr w:rsidR="000142FC" w:rsidRPr="00030D63" w14:paraId="68AD0872" w14:textId="77777777" w:rsidTr="00C33D2A">
        <w:tc>
          <w:tcPr>
            <w:tcW w:w="8411" w:type="dxa"/>
          </w:tcPr>
          <w:p w14:paraId="59212C4A" w14:textId="77777777" w:rsidR="000142FC" w:rsidRPr="00030D63" w:rsidRDefault="000142FC" w:rsidP="00C33D2A">
            <w:pPr>
              <w:jc w:val="both"/>
              <w:rPr>
                <w:b/>
                <w:bCs/>
                <w:lang w:val="es-ES"/>
              </w:rPr>
            </w:pPr>
            <w:r w:rsidRPr="00030D63">
              <w:rPr>
                <w:b/>
                <w:bCs/>
                <w:lang w:val="es-ES"/>
              </w:rPr>
              <w:t xml:space="preserve">Población beneficiaria: </w:t>
            </w:r>
            <w:r w:rsidRPr="00502E33">
              <w:rPr>
                <w:bCs/>
                <w:lang w:val="es-ES"/>
              </w:rPr>
              <w:t>1,127,500</w:t>
            </w:r>
            <w:r>
              <w:rPr>
                <w:bCs/>
                <w:lang w:val="es-ES"/>
              </w:rPr>
              <w:t xml:space="preserve"> habitantes</w:t>
            </w:r>
          </w:p>
        </w:tc>
      </w:tr>
      <w:tr w:rsidR="000142FC" w:rsidRPr="00030D63" w14:paraId="3C14B93F" w14:textId="77777777" w:rsidTr="00C33D2A">
        <w:tc>
          <w:tcPr>
            <w:tcW w:w="8411" w:type="dxa"/>
          </w:tcPr>
          <w:p w14:paraId="5129E56A" w14:textId="77777777" w:rsidR="000142FC" w:rsidRDefault="000142FC" w:rsidP="00C33D2A">
            <w:pPr>
              <w:jc w:val="both"/>
              <w:rPr>
                <w:b/>
                <w:bCs/>
                <w:lang w:val="es-ES"/>
              </w:rPr>
            </w:pPr>
            <w:r>
              <w:rPr>
                <w:b/>
                <w:bCs/>
                <w:lang w:val="es-ES"/>
              </w:rPr>
              <w:t>Sectores Beneficiados:</w:t>
            </w:r>
          </w:p>
          <w:p w14:paraId="4F52F1D8" w14:textId="77777777" w:rsidR="000142FC" w:rsidRPr="00410D06" w:rsidRDefault="000142FC" w:rsidP="00C33D2A">
            <w:pPr>
              <w:jc w:val="both"/>
              <w:rPr>
                <w:bCs/>
                <w:lang w:val="es-ES"/>
              </w:rPr>
            </w:pPr>
            <w:r>
              <w:rPr>
                <w:bCs/>
                <w:lang w:val="es-ES"/>
              </w:rPr>
              <w:t xml:space="preserve">Almirante, Alma Rosa I y II, Villa Faro, Los Frailes, Invivienda, Villa Carmen, La Toronja, Nuevo Amanecer, San Isidro, Vista Hermosa, Ensanche Isabelita, Villa </w:t>
            </w:r>
            <w:proofErr w:type="spellStart"/>
            <w:r>
              <w:rPr>
                <w:bCs/>
                <w:lang w:val="es-ES"/>
              </w:rPr>
              <w:t>Eloisa</w:t>
            </w:r>
            <w:proofErr w:type="spellEnd"/>
            <w:r>
              <w:rPr>
                <w:bCs/>
                <w:lang w:val="es-ES"/>
              </w:rPr>
              <w:t xml:space="preserve">, Prado </w:t>
            </w:r>
            <w:proofErr w:type="spellStart"/>
            <w:r>
              <w:rPr>
                <w:bCs/>
                <w:lang w:val="es-ES"/>
              </w:rPr>
              <w:t>Orienal</w:t>
            </w:r>
            <w:proofErr w:type="spellEnd"/>
            <w:r>
              <w:rPr>
                <w:bCs/>
                <w:lang w:val="es-ES"/>
              </w:rPr>
              <w:t xml:space="preserve">, </w:t>
            </w:r>
            <w:proofErr w:type="spellStart"/>
            <w:r>
              <w:rPr>
                <w:bCs/>
                <w:lang w:val="es-ES"/>
              </w:rPr>
              <w:t>Cancino</w:t>
            </w:r>
            <w:proofErr w:type="spellEnd"/>
            <w:r>
              <w:rPr>
                <w:bCs/>
                <w:lang w:val="es-ES"/>
              </w:rPr>
              <w:t xml:space="preserve">, Colinas del Este, </w:t>
            </w:r>
            <w:proofErr w:type="spellStart"/>
            <w:r>
              <w:rPr>
                <w:bCs/>
                <w:lang w:val="es-ES"/>
              </w:rPr>
              <w:t>Hainamosa</w:t>
            </w:r>
            <w:proofErr w:type="spellEnd"/>
            <w:r>
              <w:rPr>
                <w:bCs/>
                <w:lang w:val="es-ES"/>
              </w:rPr>
              <w:t xml:space="preserve">, Los Mina, Los tres Brazos, Ensanche Ozama, Los Mameyes, San </w:t>
            </w:r>
            <w:proofErr w:type="spellStart"/>
            <w:r>
              <w:rPr>
                <w:bCs/>
                <w:lang w:val="es-ES"/>
              </w:rPr>
              <w:t>Souci</w:t>
            </w:r>
            <w:proofErr w:type="spellEnd"/>
            <w:r>
              <w:rPr>
                <w:bCs/>
                <w:lang w:val="es-ES"/>
              </w:rPr>
              <w:t>, Sabana Perdida, Lotes y Servicio, Brisa del este</w:t>
            </w:r>
          </w:p>
        </w:tc>
      </w:tr>
    </w:tbl>
    <w:p w14:paraId="01843989" w14:textId="688D5352" w:rsidR="00826998" w:rsidRDefault="00826998"/>
    <w:p w14:paraId="10C25E30" w14:textId="0BA41269" w:rsidR="00826998" w:rsidRDefault="00826998"/>
    <w:p w14:paraId="3062F7C0" w14:textId="77777777" w:rsidR="00826998" w:rsidRDefault="00826998"/>
    <w:p w14:paraId="621EB821" w14:textId="4F8ABE93" w:rsidR="00A06DE0" w:rsidRDefault="00A06DE0"/>
    <w:p w14:paraId="767EE78E" w14:textId="5CCA0190" w:rsidR="00A06DE0" w:rsidRDefault="00A06DE0"/>
    <w:sectPr w:rsidR="00A06DE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E5053" w14:textId="77777777" w:rsidR="00E44C2C" w:rsidRDefault="00E44C2C" w:rsidP="00EF16E3">
      <w:pPr>
        <w:spacing w:after="0" w:line="240" w:lineRule="auto"/>
      </w:pPr>
      <w:r>
        <w:separator/>
      </w:r>
    </w:p>
  </w:endnote>
  <w:endnote w:type="continuationSeparator" w:id="0">
    <w:p w14:paraId="7AC789E1" w14:textId="77777777" w:rsidR="00E44C2C" w:rsidRDefault="00E44C2C" w:rsidP="00EF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8F522" w14:textId="77777777" w:rsidR="00EF16E3" w:rsidRDefault="00EF16E3">
    <w:pPr>
      <w:pStyle w:val="Piedepgina"/>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es-ES"/>
      </w:rPr>
      <w:t>2</w:t>
    </w:r>
    <w:r>
      <w:rPr>
        <w:caps/>
        <w:color w:val="4472C4" w:themeColor="accent1"/>
      </w:rPr>
      <w:fldChar w:fldCharType="end"/>
    </w:r>
  </w:p>
  <w:p w14:paraId="0ED1EE09" w14:textId="77777777" w:rsidR="00EF16E3" w:rsidRDefault="00EF16E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EC9F9" w14:textId="77777777" w:rsidR="00E44C2C" w:rsidRDefault="00E44C2C" w:rsidP="00EF16E3">
      <w:pPr>
        <w:spacing w:after="0" w:line="240" w:lineRule="auto"/>
      </w:pPr>
      <w:r>
        <w:separator/>
      </w:r>
    </w:p>
  </w:footnote>
  <w:footnote w:type="continuationSeparator" w:id="0">
    <w:p w14:paraId="26D6DB98" w14:textId="77777777" w:rsidR="00E44C2C" w:rsidRDefault="00E44C2C" w:rsidP="00EF1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900" w:type="dxa"/>
      <w:tblCellMar>
        <w:left w:w="70" w:type="dxa"/>
        <w:right w:w="70" w:type="dxa"/>
      </w:tblCellMar>
      <w:tblLook w:val="04A0" w:firstRow="1" w:lastRow="0" w:firstColumn="1" w:lastColumn="0" w:noHBand="0" w:noVBand="1"/>
    </w:tblPr>
    <w:tblGrid>
      <w:gridCol w:w="8900"/>
    </w:tblGrid>
    <w:tr w:rsidR="00EF16E3" w:rsidRPr="00687F62" w14:paraId="7C2EAB4E" w14:textId="77777777" w:rsidTr="00EF16E3">
      <w:trPr>
        <w:trHeight w:val="540"/>
      </w:trPr>
      <w:tc>
        <w:tcPr>
          <w:tcW w:w="8900" w:type="dxa"/>
          <w:tcBorders>
            <w:top w:val="nil"/>
            <w:left w:val="nil"/>
            <w:bottom w:val="nil"/>
            <w:right w:val="nil"/>
          </w:tcBorders>
          <w:shd w:val="clear" w:color="auto" w:fill="auto"/>
          <w:noWrap/>
          <w:vAlign w:val="bottom"/>
          <w:hideMark/>
        </w:tcPr>
        <w:p w14:paraId="7D7A7308" w14:textId="77777777" w:rsidR="00EF16E3" w:rsidRDefault="00EF16E3" w:rsidP="00EF16E3">
          <w:pPr>
            <w:spacing w:after="0" w:line="240" w:lineRule="auto"/>
            <w:jc w:val="center"/>
            <w:rPr>
              <w:rFonts w:ascii="Arial Black" w:eastAsia="Times New Roman" w:hAnsi="Arial Black" w:cs="Calibri"/>
              <w:b/>
              <w:bCs/>
              <w:sz w:val="18"/>
              <w:szCs w:val="18"/>
              <w:lang w:eastAsia="es-DO"/>
            </w:rPr>
          </w:pPr>
          <w:r w:rsidRPr="00687F62">
            <w:rPr>
              <w:rFonts w:ascii="Arial Black" w:eastAsia="Times New Roman" w:hAnsi="Arial Black" w:cs="Calibri"/>
              <w:b/>
              <w:bCs/>
              <w:sz w:val="18"/>
              <w:szCs w:val="18"/>
              <w:lang w:eastAsia="es-DO"/>
            </w:rPr>
            <w:t>CORPORACION DEL ACUEDUCTO Y ALCANTAILLADO DE SANTO DOMINGO</w:t>
          </w:r>
        </w:p>
        <w:p w14:paraId="4D740AC8" w14:textId="77777777" w:rsidR="00EF16E3" w:rsidRDefault="00EF16E3" w:rsidP="00EF16E3">
          <w:pPr>
            <w:spacing w:after="0" w:line="240" w:lineRule="auto"/>
            <w:jc w:val="center"/>
            <w:rPr>
              <w:rFonts w:ascii="Arial Black" w:eastAsia="Times New Roman" w:hAnsi="Arial Black" w:cs="Calibri"/>
              <w:b/>
              <w:bCs/>
              <w:lang w:eastAsia="es-DO"/>
            </w:rPr>
          </w:pPr>
          <w:r w:rsidRPr="00687F62">
            <w:rPr>
              <w:rFonts w:ascii="Arial Black" w:eastAsia="Times New Roman" w:hAnsi="Arial Black" w:cs="Calibri"/>
              <w:b/>
              <w:bCs/>
              <w:lang w:eastAsia="es-DO"/>
            </w:rPr>
            <w:t>(CAASD)</w:t>
          </w:r>
        </w:p>
        <w:p w14:paraId="735B75FB" w14:textId="77777777" w:rsidR="00EF16E3" w:rsidRDefault="00EF16E3" w:rsidP="00EF16E3">
          <w:pPr>
            <w:spacing w:after="0" w:line="240" w:lineRule="auto"/>
            <w:jc w:val="center"/>
            <w:rPr>
              <w:rFonts w:ascii="Calibri" w:eastAsia="Times New Roman" w:hAnsi="Calibri" w:cs="Calibri"/>
              <w:i/>
              <w:iCs/>
              <w:color w:val="000000"/>
              <w:sz w:val="24"/>
              <w:szCs w:val="24"/>
              <w:lang w:eastAsia="es-DO"/>
            </w:rPr>
          </w:pPr>
          <w:r w:rsidRPr="00687F62">
            <w:rPr>
              <w:rFonts w:ascii="Calibri" w:eastAsia="Times New Roman" w:hAnsi="Calibri" w:cs="Calibri"/>
              <w:i/>
              <w:iCs/>
              <w:color w:val="000000"/>
              <w:sz w:val="24"/>
              <w:szCs w:val="24"/>
              <w:lang w:eastAsia="es-DO"/>
            </w:rPr>
            <w:t>Dirección de Planificación</w:t>
          </w:r>
          <w:r>
            <w:rPr>
              <w:rFonts w:ascii="Calibri" w:eastAsia="Times New Roman" w:hAnsi="Calibri" w:cs="Calibri"/>
              <w:i/>
              <w:iCs/>
              <w:color w:val="000000"/>
              <w:sz w:val="24"/>
              <w:szCs w:val="24"/>
              <w:lang w:eastAsia="es-DO"/>
            </w:rPr>
            <w:t xml:space="preserve"> y Desarrollo</w:t>
          </w:r>
        </w:p>
        <w:p w14:paraId="5820C4E7" w14:textId="136DF477" w:rsidR="00EF16E3" w:rsidRPr="00687F62" w:rsidRDefault="00EF16E3" w:rsidP="00EF16E3">
          <w:pPr>
            <w:spacing w:after="0" w:line="240" w:lineRule="auto"/>
            <w:jc w:val="center"/>
            <w:rPr>
              <w:rFonts w:ascii="Arial Black" w:eastAsia="Times New Roman" w:hAnsi="Arial Black" w:cs="Calibri"/>
              <w:b/>
              <w:bCs/>
              <w:sz w:val="18"/>
              <w:szCs w:val="18"/>
              <w:lang w:eastAsia="es-DO"/>
            </w:rPr>
          </w:pPr>
          <w:r>
            <w:rPr>
              <w:rFonts w:ascii="Calibri" w:eastAsia="Times New Roman" w:hAnsi="Calibri" w:cs="Calibri"/>
              <w:i/>
              <w:iCs/>
              <w:color w:val="000000"/>
              <w:sz w:val="24"/>
              <w:szCs w:val="24"/>
              <w:lang w:eastAsia="es-DO"/>
            </w:rPr>
            <w:t xml:space="preserve">DESCRIPCIÓN DE LOS PROYECTOS </w:t>
          </w:r>
        </w:p>
      </w:tc>
    </w:tr>
  </w:tbl>
  <w:p w14:paraId="709CD660" w14:textId="36338DF5" w:rsidR="00EF16E3" w:rsidRDefault="00EF16E3">
    <w:pPr>
      <w:pStyle w:val="Encabezado"/>
    </w:pPr>
    <w:r w:rsidRPr="00687F62">
      <w:rPr>
        <w:rFonts w:ascii="Calibri" w:eastAsia="Times New Roman" w:hAnsi="Calibri" w:cs="Calibri"/>
        <w:noProof/>
        <w:color w:val="000000"/>
        <w:lang w:eastAsia="es-DO"/>
      </w:rPr>
      <w:drawing>
        <wp:anchor distT="0" distB="0" distL="114300" distR="114300" simplePos="0" relativeHeight="251659264" behindDoc="0" locked="0" layoutInCell="1" allowOverlap="1" wp14:anchorId="30CDEAF5" wp14:editId="30AD3D2C">
          <wp:simplePos x="0" y="0"/>
          <wp:positionH relativeFrom="column">
            <wp:posOffset>-461010</wp:posOffset>
          </wp:positionH>
          <wp:positionV relativeFrom="paragraph">
            <wp:posOffset>-708025</wp:posOffset>
          </wp:positionV>
          <wp:extent cx="581025" cy="771525"/>
          <wp:effectExtent l="0" t="0" r="9525" b="9525"/>
          <wp:wrapNone/>
          <wp:docPr id="2" name="Imagen 2" descr="http://cdn4.hoy.com.do/wp-content/uploads/2013/12/caasd-1.jpg">
            <a:extLst xmlns:a="http://schemas.openxmlformats.org/drawingml/2006/main">
              <a:ext uri="{FF2B5EF4-FFF2-40B4-BE49-F238E27FC236}">
                <a16:creationId xmlns:a16="http://schemas.microsoft.com/office/drawing/2014/main" id="{CABAD35F-8950-4E54-92B4-C6C6C6BD13BA}"/>
              </a:ext>
            </a:extLst>
          </wp:docPr>
          <wp:cNvGraphicFramePr/>
          <a:graphic xmlns:a="http://schemas.openxmlformats.org/drawingml/2006/main">
            <a:graphicData uri="http://schemas.openxmlformats.org/drawingml/2006/picture">
              <pic:pic xmlns:pic="http://schemas.openxmlformats.org/drawingml/2006/picture">
                <pic:nvPicPr>
                  <pic:cNvPr id="2" name="1 Imagen" descr="http://cdn4.hoy.com.do/wp-content/uploads/2013/12/caasd-1.jpg">
                    <a:extLst>
                      <a:ext uri="{FF2B5EF4-FFF2-40B4-BE49-F238E27FC236}">
                        <a16:creationId xmlns:a16="http://schemas.microsoft.com/office/drawing/2014/main" id="{CABAD35F-8950-4E54-92B4-C6C6C6BD13BA}"/>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1025" cy="771525"/>
                  </a:xfrm>
                  <a:prstGeom prst="rect">
                    <a:avLst/>
                  </a:prstGeom>
                  <a:noFill/>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061B1"/>
    <w:multiLevelType w:val="hybridMultilevel"/>
    <w:tmpl w:val="43C402BC"/>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 w15:restartNumberingAfterBreak="0">
    <w:nsid w:val="3BEC7FA4"/>
    <w:multiLevelType w:val="hybridMultilevel"/>
    <w:tmpl w:val="2C5C3514"/>
    <w:lvl w:ilvl="0" w:tplc="1C0A0001">
      <w:start w:val="1"/>
      <w:numFmt w:val="bullet"/>
      <w:lvlText w:val=""/>
      <w:lvlJc w:val="left"/>
      <w:pPr>
        <w:ind w:left="360" w:hanging="360"/>
      </w:pPr>
      <w:rPr>
        <w:rFonts w:ascii="Symbol" w:hAnsi="Symbol" w:hint="default"/>
      </w:rPr>
    </w:lvl>
    <w:lvl w:ilvl="1" w:tplc="1C0A0019" w:tentative="1">
      <w:start w:val="1"/>
      <w:numFmt w:val="lowerLetter"/>
      <w:lvlText w:val="%2."/>
      <w:lvlJc w:val="left"/>
      <w:pPr>
        <w:ind w:left="1080" w:hanging="360"/>
      </w:pPr>
    </w:lvl>
    <w:lvl w:ilvl="2" w:tplc="1C0A001B" w:tentative="1">
      <w:start w:val="1"/>
      <w:numFmt w:val="lowerRoman"/>
      <w:lvlText w:val="%3."/>
      <w:lvlJc w:val="right"/>
      <w:pPr>
        <w:ind w:left="1800" w:hanging="180"/>
      </w:pPr>
    </w:lvl>
    <w:lvl w:ilvl="3" w:tplc="1C0A000F" w:tentative="1">
      <w:start w:val="1"/>
      <w:numFmt w:val="decimal"/>
      <w:lvlText w:val="%4."/>
      <w:lvlJc w:val="left"/>
      <w:pPr>
        <w:ind w:left="2520" w:hanging="360"/>
      </w:pPr>
    </w:lvl>
    <w:lvl w:ilvl="4" w:tplc="1C0A0019" w:tentative="1">
      <w:start w:val="1"/>
      <w:numFmt w:val="lowerLetter"/>
      <w:lvlText w:val="%5."/>
      <w:lvlJc w:val="left"/>
      <w:pPr>
        <w:ind w:left="3240" w:hanging="360"/>
      </w:pPr>
    </w:lvl>
    <w:lvl w:ilvl="5" w:tplc="1C0A001B" w:tentative="1">
      <w:start w:val="1"/>
      <w:numFmt w:val="lowerRoman"/>
      <w:lvlText w:val="%6."/>
      <w:lvlJc w:val="right"/>
      <w:pPr>
        <w:ind w:left="3960" w:hanging="180"/>
      </w:pPr>
    </w:lvl>
    <w:lvl w:ilvl="6" w:tplc="1C0A000F" w:tentative="1">
      <w:start w:val="1"/>
      <w:numFmt w:val="decimal"/>
      <w:lvlText w:val="%7."/>
      <w:lvlJc w:val="left"/>
      <w:pPr>
        <w:ind w:left="4680" w:hanging="360"/>
      </w:pPr>
    </w:lvl>
    <w:lvl w:ilvl="7" w:tplc="1C0A0019" w:tentative="1">
      <w:start w:val="1"/>
      <w:numFmt w:val="lowerLetter"/>
      <w:lvlText w:val="%8."/>
      <w:lvlJc w:val="left"/>
      <w:pPr>
        <w:ind w:left="5400" w:hanging="360"/>
      </w:pPr>
    </w:lvl>
    <w:lvl w:ilvl="8" w:tplc="1C0A001B" w:tentative="1">
      <w:start w:val="1"/>
      <w:numFmt w:val="lowerRoman"/>
      <w:lvlText w:val="%9."/>
      <w:lvlJc w:val="right"/>
      <w:pPr>
        <w:ind w:left="6120" w:hanging="180"/>
      </w:pPr>
    </w:lvl>
  </w:abstractNum>
  <w:abstractNum w:abstractNumId="2" w15:restartNumberingAfterBreak="0">
    <w:nsid w:val="5E0D7433"/>
    <w:multiLevelType w:val="hybridMultilevel"/>
    <w:tmpl w:val="4574D3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89F"/>
    <w:rsid w:val="0001357C"/>
    <w:rsid w:val="000142FC"/>
    <w:rsid w:val="0010015D"/>
    <w:rsid w:val="001268DE"/>
    <w:rsid w:val="001348AB"/>
    <w:rsid w:val="001B7139"/>
    <w:rsid w:val="001D6067"/>
    <w:rsid w:val="00367C92"/>
    <w:rsid w:val="00410D06"/>
    <w:rsid w:val="00454C4D"/>
    <w:rsid w:val="0050369C"/>
    <w:rsid w:val="00545025"/>
    <w:rsid w:val="00553EBA"/>
    <w:rsid w:val="005637F5"/>
    <w:rsid w:val="006F42B3"/>
    <w:rsid w:val="007B789F"/>
    <w:rsid w:val="00826998"/>
    <w:rsid w:val="00874617"/>
    <w:rsid w:val="00876294"/>
    <w:rsid w:val="00876394"/>
    <w:rsid w:val="008D296F"/>
    <w:rsid w:val="00A06DE0"/>
    <w:rsid w:val="00A7480F"/>
    <w:rsid w:val="00AB19BA"/>
    <w:rsid w:val="00B83050"/>
    <w:rsid w:val="00BF3909"/>
    <w:rsid w:val="00BF7D83"/>
    <w:rsid w:val="00C479A0"/>
    <w:rsid w:val="00C95866"/>
    <w:rsid w:val="00D07815"/>
    <w:rsid w:val="00D51FB7"/>
    <w:rsid w:val="00D72F17"/>
    <w:rsid w:val="00DC158F"/>
    <w:rsid w:val="00E44C2C"/>
    <w:rsid w:val="00EF16E3"/>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4A31"/>
  <w15:chartTrackingRefBased/>
  <w15:docId w15:val="{6D17F147-7155-40B7-A66A-8F799DAE8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2F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296F"/>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unhideWhenUsed/>
    <w:rsid w:val="00EF16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16E3"/>
  </w:style>
  <w:style w:type="paragraph" w:styleId="Piedepgina">
    <w:name w:val="footer"/>
    <w:basedOn w:val="Normal"/>
    <w:link w:val="PiedepginaCar"/>
    <w:uiPriority w:val="99"/>
    <w:unhideWhenUsed/>
    <w:rsid w:val="00EF16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278</Words>
  <Characters>1531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 Polanco Albuerne</dc:creator>
  <cp:keywords/>
  <dc:description/>
  <cp:lastModifiedBy>Sergio M. Polanco Albuerne</cp:lastModifiedBy>
  <cp:revision>4</cp:revision>
  <dcterms:created xsi:type="dcterms:W3CDTF">2018-05-25T18:28:00Z</dcterms:created>
  <dcterms:modified xsi:type="dcterms:W3CDTF">2019-04-09T16:12:00Z</dcterms:modified>
</cp:coreProperties>
</file>