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34075" w14:textId="78A29949" w:rsidR="00A26C7E" w:rsidRDefault="007723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1"/>
      </w:tblGrid>
      <w:tr w:rsidR="001D6067" w:rsidRPr="000A617E" w14:paraId="09296C38" w14:textId="77777777" w:rsidTr="00C33D2A">
        <w:tc>
          <w:tcPr>
            <w:tcW w:w="8411" w:type="dxa"/>
          </w:tcPr>
          <w:p w14:paraId="21104965" w14:textId="77777777" w:rsidR="001D6067" w:rsidRPr="000A617E" w:rsidRDefault="001D6067" w:rsidP="00C33D2A">
            <w:r w:rsidRPr="000A617E">
              <w:rPr>
                <w:b/>
                <w:bCs/>
              </w:rPr>
              <w:t>Nombre del Proyecto:</w:t>
            </w:r>
            <w:r w:rsidRPr="000A617E">
              <w:t xml:space="preserve"> </w:t>
            </w:r>
          </w:p>
          <w:p w14:paraId="08DC5EB1" w14:textId="77777777" w:rsidR="001D6067" w:rsidRPr="000A617E" w:rsidRDefault="001D6067" w:rsidP="00C33D2A">
            <w:r w:rsidRPr="008F66E4">
              <w:t>REHABILITACIÓN DE LA PLANTA DE TRATAMIENTO DE LOS ALCARRIZOS, SANTO DOMINGO OESTE</w:t>
            </w:r>
          </w:p>
        </w:tc>
      </w:tr>
      <w:tr w:rsidR="002F280E" w:rsidRPr="000A617E" w14:paraId="77981A7F" w14:textId="77777777" w:rsidTr="00C33D2A">
        <w:tc>
          <w:tcPr>
            <w:tcW w:w="8411" w:type="dxa"/>
          </w:tcPr>
          <w:p w14:paraId="2DF3A89B" w14:textId="7400C1E2" w:rsidR="002F280E" w:rsidRPr="000A617E" w:rsidRDefault="002F280E" w:rsidP="00C33D2A">
            <w:pPr>
              <w:jc w:val="both"/>
              <w:rPr>
                <w:b/>
                <w:bCs/>
              </w:rPr>
            </w:pPr>
            <w:r>
              <w:rPr>
                <w:b/>
                <w:bCs/>
              </w:rPr>
              <w:t xml:space="preserve">Inicio: </w:t>
            </w:r>
            <w:r w:rsidRPr="00876294">
              <w:rPr>
                <w:bCs/>
              </w:rPr>
              <w:t>201</w:t>
            </w:r>
            <w:r w:rsidR="005E708C">
              <w:rPr>
                <w:bCs/>
              </w:rPr>
              <w:t>9</w:t>
            </w:r>
            <w:r w:rsidRPr="00876294">
              <w:rPr>
                <w:bCs/>
              </w:rPr>
              <w:t xml:space="preserve"> </w:t>
            </w:r>
            <w:r>
              <w:rPr>
                <w:b/>
                <w:bCs/>
              </w:rPr>
              <w:t xml:space="preserve">                                                Fin: </w:t>
            </w:r>
            <w:r w:rsidRPr="00876294">
              <w:rPr>
                <w:bCs/>
              </w:rPr>
              <w:t>202</w:t>
            </w:r>
            <w:r w:rsidR="005E708C">
              <w:rPr>
                <w:bCs/>
              </w:rPr>
              <w:t>0</w:t>
            </w:r>
          </w:p>
        </w:tc>
      </w:tr>
      <w:tr w:rsidR="001D6067" w:rsidRPr="000A617E" w14:paraId="6D2854F8" w14:textId="77777777" w:rsidTr="00C33D2A">
        <w:tc>
          <w:tcPr>
            <w:tcW w:w="8411" w:type="dxa"/>
          </w:tcPr>
          <w:p w14:paraId="15295180" w14:textId="77777777" w:rsidR="001D6067" w:rsidRPr="000A617E" w:rsidRDefault="001D6067" w:rsidP="00C33D2A">
            <w:pPr>
              <w:jc w:val="both"/>
              <w:rPr>
                <w:b/>
                <w:bCs/>
              </w:rPr>
            </w:pPr>
            <w:r w:rsidRPr="000A617E">
              <w:rPr>
                <w:b/>
                <w:bCs/>
              </w:rPr>
              <w:t>Estado del proyecto:      Nuevo</w:t>
            </w:r>
            <w:r>
              <w:rPr>
                <w:b/>
                <w:bCs/>
              </w:rPr>
              <w:t xml:space="preserve"> </w:t>
            </w:r>
            <w:r w:rsidRPr="00874617">
              <w:rPr>
                <w:bCs/>
              </w:rPr>
              <w:t xml:space="preserve">X </w:t>
            </w:r>
            <w:r w:rsidRPr="000A617E">
              <w:rPr>
                <w:b/>
                <w:bCs/>
              </w:rPr>
              <w:t xml:space="preserve">                 Arrastre  </w:t>
            </w:r>
          </w:p>
        </w:tc>
      </w:tr>
      <w:tr w:rsidR="005E708C" w:rsidRPr="000A617E" w14:paraId="5D5F38C4" w14:textId="77777777" w:rsidTr="00C33D2A">
        <w:tc>
          <w:tcPr>
            <w:tcW w:w="8411" w:type="dxa"/>
          </w:tcPr>
          <w:p w14:paraId="61B29BD5" w14:textId="77777777" w:rsidR="005E708C" w:rsidRPr="0091160C" w:rsidRDefault="005E708C" w:rsidP="005E708C">
            <w:pPr>
              <w:spacing w:after="0" w:line="360" w:lineRule="auto"/>
              <w:rPr>
                <w:rFonts w:ascii="Calibri" w:hAnsi="Calibri"/>
                <w:bCs/>
                <w:sz w:val="20"/>
                <w:szCs w:val="20"/>
                <w:lang w:eastAsia="es-ES"/>
              </w:rPr>
            </w:pPr>
            <w:r w:rsidRPr="0091160C">
              <w:rPr>
                <w:rFonts w:ascii="Calibri" w:hAnsi="Calibri"/>
                <w:b/>
                <w:bCs/>
                <w:sz w:val="20"/>
                <w:szCs w:val="20"/>
                <w:lang w:eastAsia="es-ES"/>
              </w:rPr>
              <w:t>Problemática:</w:t>
            </w:r>
          </w:p>
          <w:p w14:paraId="1C11198A" w14:textId="77777777" w:rsidR="005E708C" w:rsidRPr="0091160C" w:rsidRDefault="005E708C" w:rsidP="005E708C">
            <w:pPr>
              <w:keepNext/>
              <w:rPr>
                <w:sz w:val="20"/>
              </w:rPr>
            </w:pPr>
            <w:r w:rsidRPr="0091160C">
              <w:rPr>
                <w:sz w:val="20"/>
              </w:rPr>
              <w:t>La corporación del acueducto y alcantarillado de santo domingo debe garantizar un servicio eficiente a los más de 3 millones de habitantes del Gran Santo Domingo lo cual se ve afectado de manera directa por los siguientes factores:</w:t>
            </w:r>
          </w:p>
          <w:p w14:paraId="570D90D5" w14:textId="77777777" w:rsidR="005E708C" w:rsidRPr="0091160C" w:rsidRDefault="005E708C" w:rsidP="005E708C">
            <w:pPr>
              <w:keepNext/>
              <w:numPr>
                <w:ilvl w:val="0"/>
                <w:numId w:val="4"/>
              </w:numPr>
              <w:spacing w:after="0" w:line="240" w:lineRule="auto"/>
              <w:contextualSpacing/>
              <w:rPr>
                <w:sz w:val="20"/>
              </w:rPr>
            </w:pPr>
            <w:r w:rsidRPr="0091160C">
              <w:rPr>
                <w:sz w:val="20"/>
              </w:rPr>
              <w:t>Baja producción de los sistemas con los que cuenta la institución; como consecuencia de la baja eficiencia de los equipos instalados, esto debido a escasos mantenimientos, así como también, falta de equipos y piezas de reemplazo.</w:t>
            </w:r>
          </w:p>
          <w:p w14:paraId="3E7A2315" w14:textId="77777777" w:rsidR="005E708C" w:rsidRPr="0091160C" w:rsidRDefault="005E708C" w:rsidP="005E708C">
            <w:pPr>
              <w:keepNext/>
              <w:numPr>
                <w:ilvl w:val="0"/>
                <w:numId w:val="4"/>
              </w:numPr>
              <w:spacing w:after="0" w:line="240" w:lineRule="auto"/>
              <w:contextualSpacing/>
              <w:rPr>
                <w:sz w:val="20"/>
              </w:rPr>
            </w:pPr>
            <w:r w:rsidRPr="0091160C">
              <w:rPr>
                <w:sz w:val="20"/>
              </w:rPr>
              <w:t>Equipos de mantenimiento y construcción insuficientes, tanto por varios de estos estar fuera de servicio, como envejecimiento de estos, lo cual dificulta de manera directa la capacidad de respuesta frente a averías.</w:t>
            </w:r>
          </w:p>
          <w:p w14:paraId="0E0E805D" w14:textId="64FDE404" w:rsidR="005E708C" w:rsidRPr="005E708C" w:rsidRDefault="005E708C" w:rsidP="005E708C">
            <w:pPr>
              <w:keepNext/>
              <w:numPr>
                <w:ilvl w:val="0"/>
                <w:numId w:val="4"/>
              </w:numPr>
              <w:spacing w:after="0" w:line="240" w:lineRule="auto"/>
              <w:contextualSpacing/>
              <w:rPr>
                <w:sz w:val="20"/>
              </w:rPr>
            </w:pPr>
            <w:r w:rsidRPr="0091160C">
              <w:rPr>
                <w:sz w:val="20"/>
              </w:rPr>
              <w:t>Vehículos operativos insuficientes, la cual representa una variable de gran impacto esto debido al gran incremento poblacional que ha derivado en las ampliaciones de las redes trayendo como consecuencia mayores zonas a ser servidas.</w:t>
            </w:r>
          </w:p>
        </w:tc>
      </w:tr>
      <w:tr w:rsidR="001D6067" w:rsidRPr="000A617E" w14:paraId="3113801A" w14:textId="77777777" w:rsidTr="00C33D2A">
        <w:tc>
          <w:tcPr>
            <w:tcW w:w="8411" w:type="dxa"/>
          </w:tcPr>
          <w:p w14:paraId="3F509425" w14:textId="77777777" w:rsidR="001D6067" w:rsidRDefault="001D6067" w:rsidP="00C33D2A">
            <w:pPr>
              <w:jc w:val="both"/>
              <w:rPr>
                <w:b/>
                <w:bCs/>
                <w:lang w:val="es-ES"/>
              </w:rPr>
            </w:pPr>
            <w:r>
              <w:rPr>
                <w:b/>
                <w:bCs/>
                <w:lang w:val="es-ES"/>
              </w:rPr>
              <w:t>Descripción del Proyecto:</w:t>
            </w:r>
          </w:p>
          <w:p w14:paraId="446FB845" w14:textId="77777777" w:rsidR="005E708C" w:rsidRPr="001E3A78" w:rsidRDefault="005E708C" w:rsidP="005E708C">
            <w:pPr>
              <w:spacing w:after="0" w:line="240" w:lineRule="auto"/>
              <w:rPr>
                <w:bCs/>
                <w:sz w:val="20"/>
                <w:szCs w:val="20"/>
                <w:lang w:eastAsia="es-ES"/>
              </w:rPr>
            </w:pPr>
            <w:r w:rsidRPr="001E3A78">
              <w:rPr>
                <w:bCs/>
                <w:sz w:val="20"/>
                <w:szCs w:val="20"/>
                <w:lang w:eastAsia="es-ES"/>
              </w:rPr>
              <w:t>El proyecto consiste en la adquisición de maquinarias y equipos que van desde laboratorios de campo, Bombas de capacidades variada y camiones hidro limpiadores hasta Camiones y Camionetas para el traslado tanto de maquinarias y equipos, como del equipo técnico. Todos estos esfuerzos están encaminados a garantizar la eficientizarían de los servicios que ofrece la institución, esto en beneficio de la ciudadanía.</w:t>
            </w:r>
          </w:p>
          <w:p w14:paraId="4D96E672" w14:textId="74323031" w:rsidR="001D6067" w:rsidRPr="000A617E" w:rsidRDefault="00EA06D5" w:rsidP="00EA06D5">
            <w:pPr>
              <w:jc w:val="both"/>
              <w:rPr>
                <w:b/>
                <w:bCs/>
              </w:rPr>
            </w:pPr>
            <w:r w:rsidRPr="00EA06D5">
              <w:rPr>
                <w:bCs/>
                <w:lang w:val="es-ES"/>
              </w:rPr>
              <w:t>las ampliaciones de las redes trayendo como consecuencia mayores zonas a ser servidas.</w:t>
            </w:r>
          </w:p>
        </w:tc>
      </w:tr>
      <w:tr w:rsidR="001D6067" w:rsidRPr="000A617E" w14:paraId="16504DD4" w14:textId="77777777" w:rsidTr="00C33D2A">
        <w:tc>
          <w:tcPr>
            <w:tcW w:w="8411" w:type="dxa"/>
          </w:tcPr>
          <w:p w14:paraId="5426335F" w14:textId="77777777" w:rsidR="001D6067" w:rsidRPr="004D5DCA" w:rsidRDefault="001D6067" w:rsidP="00C33D2A">
            <w:pPr>
              <w:rPr>
                <w:b/>
              </w:rPr>
            </w:pPr>
            <w:r w:rsidRPr="004D5DCA">
              <w:rPr>
                <w:b/>
              </w:rPr>
              <w:t>Objetivo</w:t>
            </w:r>
            <w:r>
              <w:rPr>
                <w:b/>
              </w:rPr>
              <w:t>s</w:t>
            </w:r>
            <w:r w:rsidRPr="004D5DCA">
              <w:rPr>
                <w:b/>
              </w:rPr>
              <w:t xml:space="preserve"> del proyecto:</w:t>
            </w:r>
          </w:p>
          <w:p w14:paraId="7CAA0F6E" w14:textId="77777777" w:rsidR="005E708C" w:rsidRPr="0091160C" w:rsidRDefault="005E708C" w:rsidP="005E708C">
            <w:pPr>
              <w:spacing w:after="0" w:line="360" w:lineRule="auto"/>
              <w:rPr>
                <w:rFonts w:ascii="Calibri" w:hAnsi="Calibri"/>
                <w:bCs/>
                <w:sz w:val="20"/>
                <w:szCs w:val="20"/>
                <w:lang w:eastAsia="es-ES"/>
              </w:rPr>
            </w:pPr>
            <w:r w:rsidRPr="0091160C">
              <w:rPr>
                <w:rFonts w:ascii="Calibri" w:hAnsi="Calibri"/>
                <w:b/>
                <w:bCs/>
                <w:sz w:val="20"/>
                <w:szCs w:val="20"/>
                <w:lang w:eastAsia="es-ES"/>
              </w:rPr>
              <w:t xml:space="preserve">1. Objetivo General: </w:t>
            </w:r>
          </w:p>
          <w:p w14:paraId="231EE2E1" w14:textId="77777777" w:rsidR="005E708C" w:rsidRPr="00D71E7C" w:rsidRDefault="005E708C" w:rsidP="005E708C">
            <w:pPr>
              <w:spacing w:after="0" w:line="240" w:lineRule="auto"/>
              <w:rPr>
                <w:bCs/>
                <w:sz w:val="20"/>
                <w:szCs w:val="20"/>
                <w:lang w:eastAsia="es-ES"/>
              </w:rPr>
            </w:pPr>
            <w:r w:rsidRPr="00D71E7C">
              <w:rPr>
                <w:bCs/>
                <w:sz w:val="20"/>
                <w:szCs w:val="20"/>
                <w:lang w:eastAsia="es-ES"/>
              </w:rPr>
              <w:t>Mejorar el acceso sostenible de los servicios de abastecimiento de agua potable, recolección y saneamiento de las aguas residuales en el Gran Santo Domingo.</w:t>
            </w:r>
          </w:p>
          <w:p w14:paraId="72F28536" w14:textId="77777777" w:rsidR="005E708C" w:rsidRPr="0091160C" w:rsidRDefault="005E708C" w:rsidP="005E708C">
            <w:pPr>
              <w:spacing w:after="0" w:line="240" w:lineRule="auto"/>
              <w:rPr>
                <w:rFonts w:ascii="Calibri" w:hAnsi="Calibri"/>
                <w:b/>
                <w:bCs/>
                <w:sz w:val="20"/>
                <w:szCs w:val="20"/>
                <w:lang w:eastAsia="es-ES"/>
              </w:rPr>
            </w:pPr>
          </w:p>
          <w:p w14:paraId="5CED60A7" w14:textId="77777777" w:rsidR="005E708C" w:rsidRPr="0091160C" w:rsidRDefault="005E708C" w:rsidP="005E708C">
            <w:pPr>
              <w:spacing w:after="0" w:line="360" w:lineRule="auto"/>
              <w:rPr>
                <w:rFonts w:ascii="Calibri" w:hAnsi="Calibri"/>
                <w:bCs/>
                <w:sz w:val="20"/>
                <w:szCs w:val="20"/>
                <w:lang w:eastAsia="es-ES"/>
              </w:rPr>
            </w:pPr>
            <w:r w:rsidRPr="0091160C">
              <w:rPr>
                <w:rFonts w:ascii="Calibri" w:hAnsi="Calibri"/>
                <w:b/>
                <w:bCs/>
                <w:sz w:val="20"/>
                <w:szCs w:val="20"/>
                <w:lang w:eastAsia="es-ES"/>
              </w:rPr>
              <w:t>2. Objetivos específicos:</w:t>
            </w:r>
          </w:p>
          <w:p w14:paraId="19A1C036" w14:textId="77777777" w:rsidR="005E708C" w:rsidRPr="00D71E7C" w:rsidRDefault="005E708C" w:rsidP="005E708C">
            <w:pPr>
              <w:widowControl w:val="0"/>
              <w:numPr>
                <w:ilvl w:val="0"/>
                <w:numId w:val="2"/>
              </w:numPr>
              <w:autoSpaceDE w:val="0"/>
              <w:autoSpaceDN w:val="0"/>
              <w:adjustRightInd w:val="0"/>
              <w:spacing w:after="0" w:line="240" w:lineRule="auto"/>
              <w:contextualSpacing/>
              <w:rPr>
                <w:bCs/>
                <w:sz w:val="20"/>
                <w:szCs w:val="20"/>
                <w:lang w:eastAsia="es-ES"/>
              </w:rPr>
            </w:pPr>
            <w:r w:rsidRPr="00D71E7C">
              <w:rPr>
                <w:bCs/>
                <w:sz w:val="20"/>
                <w:szCs w:val="20"/>
                <w:lang w:eastAsia="es-ES"/>
              </w:rPr>
              <w:t>Mejorar maquinarias y equipos utilizados para brindar los servicios de abastecimiento de agua potable y recolección de agua residual</w:t>
            </w:r>
          </w:p>
          <w:p w14:paraId="6D578D6A" w14:textId="77777777" w:rsidR="005E708C" w:rsidRPr="00D71E7C" w:rsidRDefault="005E708C" w:rsidP="005E708C">
            <w:pPr>
              <w:widowControl w:val="0"/>
              <w:numPr>
                <w:ilvl w:val="0"/>
                <w:numId w:val="2"/>
              </w:numPr>
              <w:autoSpaceDE w:val="0"/>
              <w:autoSpaceDN w:val="0"/>
              <w:adjustRightInd w:val="0"/>
              <w:spacing w:after="0" w:line="240" w:lineRule="auto"/>
              <w:contextualSpacing/>
              <w:rPr>
                <w:bCs/>
                <w:sz w:val="20"/>
                <w:szCs w:val="20"/>
                <w:lang w:eastAsia="es-ES"/>
              </w:rPr>
            </w:pPr>
            <w:r w:rsidRPr="00D71E7C">
              <w:rPr>
                <w:bCs/>
                <w:sz w:val="20"/>
                <w:szCs w:val="20"/>
                <w:lang w:eastAsia="es-ES"/>
              </w:rPr>
              <w:t>Contribuir con el desarrollo integral del Gran Santo Domingo</w:t>
            </w:r>
          </w:p>
          <w:p w14:paraId="52D90561" w14:textId="77777777" w:rsidR="005E708C" w:rsidRPr="00D71E7C" w:rsidRDefault="005E708C" w:rsidP="005E708C">
            <w:pPr>
              <w:widowControl w:val="0"/>
              <w:numPr>
                <w:ilvl w:val="0"/>
                <w:numId w:val="2"/>
              </w:numPr>
              <w:autoSpaceDE w:val="0"/>
              <w:autoSpaceDN w:val="0"/>
              <w:adjustRightInd w:val="0"/>
              <w:spacing w:after="0" w:line="240" w:lineRule="auto"/>
              <w:contextualSpacing/>
              <w:rPr>
                <w:bCs/>
                <w:sz w:val="20"/>
                <w:szCs w:val="20"/>
                <w:lang w:eastAsia="es-ES"/>
              </w:rPr>
            </w:pPr>
            <w:r w:rsidRPr="00D71E7C">
              <w:rPr>
                <w:bCs/>
                <w:sz w:val="20"/>
                <w:szCs w:val="20"/>
                <w:lang w:eastAsia="es-ES"/>
              </w:rPr>
              <w:t>Mejorar calidad de vida de habitantes del Gran Santo Domingo</w:t>
            </w:r>
          </w:p>
          <w:p w14:paraId="4375B93E" w14:textId="77777777" w:rsidR="001D6067" w:rsidRPr="000A617E" w:rsidRDefault="001D6067" w:rsidP="00C33D2A">
            <w:pPr>
              <w:jc w:val="both"/>
              <w:rPr>
                <w:b/>
                <w:bCs/>
              </w:rPr>
            </w:pPr>
          </w:p>
        </w:tc>
      </w:tr>
      <w:tr w:rsidR="001D6067" w:rsidRPr="000A617E" w14:paraId="53EBACBB" w14:textId="77777777" w:rsidTr="00C33D2A">
        <w:tc>
          <w:tcPr>
            <w:tcW w:w="8411" w:type="dxa"/>
          </w:tcPr>
          <w:p w14:paraId="21C66A60" w14:textId="69E06391" w:rsidR="001D6067" w:rsidRPr="000A617E" w:rsidRDefault="001D6067" w:rsidP="00C33D2A">
            <w:pPr>
              <w:jc w:val="both"/>
              <w:rPr>
                <w:b/>
                <w:bCs/>
              </w:rPr>
            </w:pPr>
            <w:r w:rsidRPr="000A617E">
              <w:rPr>
                <w:b/>
                <w:bCs/>
              </w:rPr>
              <w:t xml:space="preserve">Población beneficiaria: </w:t>
            </w:r>
            <w:r w:rsidR="005E708C" w:rsidRPr="005E708C">
              <w:t>3,721,572 Habitantes</w:t>
            </w:r>
          </w:p>
        </w:tc>
      </w:tr>
      <w:tr w:rsidR="001D6067" w:rsidRPr="000A617E" w14:paraId="5410BC82" w14:textId="77777777" w:rsidTr="00C33D2A">
        <w:tc>
          <w:tcPr>
            <w:tcW w:w="8411" w:type="dxa"/>
          </w:tcPr>
          <w:p w14:paraId="134E6332" w14:textId="77777777" w:rsidR="001D6067" w:rsidRDefault="001D6067" w:rsidP="00C33D2A">
            <w:pPr>
              <w:jc w:val="both"/>
              <w:rPr>
                <w:b/>
                <w:bCs/>
              </w:rPr>
            </w:pPr>
            <w:r>
              <w:rPr>
                <w:b/>
                <w:bCs/>
              </w:rPr>
              <w:t>Sectores Beneficiarios:</w:t>
            </w:r>
          </w:p>
          <w:p w14:paraId="41401FCC" w14:textId="57CCCFDF" w:rsidR="001D6067" w:rsidRPr="00C479A0" w:rsidRDefault="005E708C" w:rsidP="00C33D2A">
            <w:pPr>
              <w:jc w:val="both"/>
              <w:rPr>
                <w:bCs/>
              </w:rPr>
            </w:pPr>
            <w:r>
              <w:rPr>
                <w:bCs/>
              </w:rPr>
              <w:t>Todos los sectores del Gran Santo Domingo</w:t>
            </w:r>
          </w:p>
        </w:tc>
      </w:tr>
    </w:tbl>
    <w:p w14:paraId="767EE78E" w14:textId="5CCA0190" w:rsidR="00A06DE0" w:rsidRDefault="00A06DE0">
      <w:bookmarkStart w:id="0" w:name="_GoBack"/>
      <w:bookmarkEnd w:id="0"/>
    </w:p>
    <w:sectPr w:rsidR="00A06DE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632B9" w14:textId="77777777" w:rsidR="00772312" w:rsidRDefault="00772312" w:rsidP="00EF16E3">
      <w:pPr>
        <w:spacing w:after="0" w:line="240" w:lineRule="auto"/>
      </w:pPr>
      <w:r>
        <w:separator/>
      </w:r>
    </w:p>
  </w:endnote>
  <w:endnote w:type="continuationSeparator" w:id="0">
    <w:p w14:paraId="30645ED4" w14:textId="77777777" w:rsidR="00772312" w:rsidRDefault="00772312" w:rsidP="00EF1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8F522" w14:textId="77777777" w:rsidR="00EF16E3" w:rsidRDefault="00EF16E3">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es-ES"/>
      </w:rPr>
      <w:t>2</w:t>
    </w:r>
    <w:r>
      <w:rPr>
        <w:caps/>
        <w:color w:val="4472C4" w:themeColor="accent1"/>
      </w:rPr>
      <w:fldChar w:fldCharType="end"/>
    </w:r>
  </w:p>
  <w:p w14:paraId="0ED1EE09" w14:textId="77777777" w:rsidR="00EF16E3" w:rsidRDefault="00EF16E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4097E" w14:textId="77777777" w:rsidR="00772312" w:rsidRDefault="00772312" w:rsidP="00EF16E3">
      <w:pPr>
        <w:spacing w:after="0" w:line="240" w:lineRule="auto"/>
      </w:pPr>
      <w:r>
        <w:separator/>
      </w:r>
    </w:p>
  </w:footnote>
  <w:footnote w:type="continuationSeparator" w:id="0">
    <w:p w14:paraId="4A674E3F" w14:textId="77777777" w:rsidR="00772312" w:rsidRDefault="00772312" w:rsidP="00EF1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900" w:type="dxa"/>
      <w:tblCellMar>
        <w:left w:w="70" w:type="dxa"/>
        <w:right w:w="70" w:type="dxa"/>
      </w:tblCellMar>
      <w:tblLook w:val="04A0" w:firstRow="1" w:lastRow="0" w:firstColumn="1" w:lastColumn="0" w:noHBand="0" w:noVBand="1"/>
    </w:tblPr>
    <w:tblGrid>
      <w:gridCol w:w="8900"/>
    </w:tblGrid>
    <w:tr w:rsidR="00EF16E3" w:rsidRPr="00687F62" w14:paraId="7C2EAB4E" w14:textId="77777777" w:rsidTr="00EF16E3">
      <w:trPr>
        <w:trHeight w:val="540"/>
      </w:trPr>
      <w:tc>
        <w:tcPr>
          <w:tcW w:w="8900" w:type="dxa"/>
          <w:tcBorders>
            <w:top w:val="nil"/>
            <w:left w:val="nil"/>
            <w:bottom w:val="nil"/>
            <w:right w:val="nil"/>
          </w:tcBorders>
          <w:shd w:val="clear" w:color="auto" w:fill="auto"/>
          <w:noWrap/>
          <w:vAlign w:val="bottom"/>
          <w:hideMark/>
        </w:tcPr>
        <w:p w14:paraId="7D7A7308" w14:textId="77777777" w:rsidR="00EF16E3" w:rsidRDefault="00EF16E3" w:rsidP="00EF16E3">
          <w:pPr>
            <w:spacing w:after="0" w:line="240" w:lineRule="auto"/>
            <w:jc w:val="center"/>
            <w:rPr>
              <w:rFonts w:ascii="Arial Black" w:eastAsia="Times New Roman" w:hAnsi="Arial Black" w:cs="Calibri"/>
              <w:b/>
              <w:bCs/>
              <w:sz w:val="18"/>
              <w:szCs w:val="18"/>
              <w:lang w:eastAsia="es-DO"/>
            </w:rPr>
          </w:pPr>
          <w:r w:rsidRPr="00687F62">
            <w:rPr>
              <w:rFonts w:ascii="Arial Black" w:eastAsia="Times New Roman" w:hAnsi="Arial Black" w:cs="Calibri"/>
              <w:b/>
              <w:bCs/>
              <w:sz w:val="18"/>
              <w:szCs w:val="18"/>
              <w:lang w:eastAsia="es-DO"/>
            </w:rPr>
            <w:t>CORPORACION DEL ACUEDUCTO Y ALCANTAILLADO DE SANTO DOMINGO</w:t>
          </w:r>
        </w:p>
        <w:p w14:paraId="4D740AC8" w14:textId="77777777" w:rsidR="00EF16E3" w:rsidRDefault="00EF16E3" w:rsidP="00EF16E3">
          <w:pPr>
            <w:spacing w:after="0" w:line="240" w:lineRule="auto"/>
            <w:jc w:val="center"/>
            <w:rPr>
              <w:rFonts w:ascii="Arial Black" w:eastAsia="Times New Roman" w:hAnsi="Arial Black" w:cs="Calibri"/>
              <w:b/>
              <w:bCs/>
              <w:lang w:eastAsia="es-DO"/>
            </w:rPr>
          </w:pPr>
          <w:r w:rsidRPr="00687F62">
            <w:rPr>
              <w:rFonts w:ascii="Arial Black" w:eastAsia="Times New Roman" w:hAnsi="Arial Black" w:cs="Calibri"/>
              <w:b/>
              <w:bCs/>
              <w:lang w:eastAsia="es-DO"/>
            </w:rPr>
            <w:t>(CAASD)</w:t>
          </w:r>
        </w:p>
        <w:p w14:paraId="735B75FB" w14:textId="77777777" w:rsidR="00EF16E3" w:rsidRDefault="00EF16E3" w:rsidP="00EF16E3">
          <w:pPr>
            <w:spacing w:after="0" w:line="240" w:lineRule="auto"/>
            <w:jc w:val="center"/>
            <w:rPr>
              <w:rFonts w:ascii="Calibri" w:eastAsia="Times New Roman" w:hAnsi="Calibri" w:cs="Calibri"/>
              <w:i/>
              <w:iCs/>
              <w:color w:val="000000"/>
              <w:sz w:val="24"/>
              <w:szCs w:val="24"/>
              <w:lang w:eastAsia="es-DO"/>
            </w:rPr>
          </w:pPr>
          <w:r w:rsidRPr="00687F62">
            <w:rPr>
              <w:rFonts w:ascii="Calibri" w:eastAsia="Times New Roman" w:hAnsi="Calibri" w:cs="Calibri"/>
              <w:i/>
              <w:iCs/>
              <w:color w:val="000000"/>
              <w:sz w:val="24"/>
              <w:szCs w:val="24"/>
              <w:lang w:eastAsia="es-DO"/>
            </w:rPr>
            <w:t>Dirección de Planificación</w:t>
          </w:r>
          <w:r>
            <w:rPr>
              <w:rFonts w:ascii="Calibri" w:eastAsia="Times New Roman" w:hAnsi="Calibri" w:cs="Calibri"/>
              <w:i/>
              <w:iCs/>
              <w:color w:val="000000"/>
              <w:sz w:val="24"/>
              <w:szCs w:val="24"/>
              <w:lang w:eastAsia="es-DO"/>
            </w:rPr>
            <w:t xml:space="preserve"> y Desarrollo</w:t>
          </w:r>
        </w:p>
        <w:p w14:paraId="5820C4E7" w14:textId="136DF477" w:rsidR="00EF16E3" w:rsidRPr="00687F62" w:rsidRDefault="00EF16E3" w:rsidP="00EF16E3">
          <w:pPr>
            <w:spacing w:after="0" w:line="240" w:lineRule="auto"/>
            <w:jc w:val="center"/>
            <w:rPr>
              <w:rFonts w:ascii="Arial Black" w:eastAsia="Times New Roman" w:hAnsi="Arial Black" w:cs="Calibri"/>
              <w:b/>
              <w:bCs/>
              <w:sz w:val="18"/>
              <w:szCs w:val="18"/>
              <w:lang w:eastAsia="es-DO"/>
            </w:rPr>
          </w:pPr>
          <w:r>
            <w:rPr>
              <w:rFonts w:ascii="Calibri" w:eastAsia="Times New Roman" w:hAnsi="Calibri" w:cs="Calibri"/>
              <w:i/>
              <w:iCs/>
              <w:color w:val="000000"/>
              <w:sz w:val="24"/>
              <w:szCs w:val="24"/>
              <w:lang w:eastAsia="es-DO"/>
            </w:rPr>
            <w:t xml:space="preserve">DESCRIPCIÓN DE LOS PROYECTOS </w:t>
          </w:r>
        </w:p>
      </w:tc>
    </w:tr>
  </w:tbl>
  <w:p w14:paraId="709CD660" w14:textId="36338DF5" w:rsidR="00EF16E3" w:rsidRDefault="00EF16E3">
    <w:pPr>
      <w:pStyle w:val="Encabezado"/>
    </w:pPr>
    <w:r w:rsidRPr="00687F62">
      <w:rPr>
        <w:rFonts w:ascii="Calibri" w:eastAsia="Times New Roman" w:hAnsi="Calibri" w:cs="Calibri"/>
        <w:noProof/>
        <w:color w:val="000000"/>
        <w:lang w:eastAsia="es-DO"/>
      </w:rPr>
      <w:drawing>
        <wp:anchor distT="0" distB="0" distL="114300" distR="114300" simplePos="0" relativeHeight="251659264" behindDoc="0" locked="0" layoutInCell="1" allowOverlap="1" wp14:anchorId="30CDEAF5" wp14:editId="30AD3D2C">
          <wp:simplePos x="0" y="0"/>
          <wp:positionH relativeFrom="column">
            <wp:posOffset>-461010</wp:posOffset>
          </wp:positionH>
          <wp:positionV relativeFrom="paragraph">
            <wp:posOffset>-708025</wp:posOffset>
          </wp:positionV>
          <wp:extent cx="581025" cy="771525"/>
          <wp:effectExtent l="0" t="0" r="9525" b="9525"/>
          <wp:wrapNone/>
          <wp:docPr id="2" name="Imagen 2" descr="http://cdn4.hoy.com.do/wp-content/uploads/2013/12/caasd-1.jpg">
            <a:extLst xmlns:a="http://schemas.openxmlformats.org/drawingml/2006/main">
              <a:ext uri="{FF2B5EF4-FFF2-40B4-BE49-F238E27FC236}">
                <a16:creationId xmlns:a16="http://schemas.microsoft.com/office/drawing/2014/main" id="{CABAD35F-8950-4E54-92B4-C6C6C6BD13BA}"/>
              </a:ext>
            </a:extLst>
          </wp:docPr>
          <wp:cNvGraphicFramePr/>
          <a:graphic xmlns:a="http://schemas.openxmlformats.org/drawingml/2006/main">
            <a:graphicData uri="http://schemas.openxmlformats.org/drawingml/2006/picture">
              <pic:pic xmlns:pic="http://schemas.openxmlformats.org/drawingml/2006/picture">
                <pic:nvPicPr>
                  <pic:cNvPr id="2" name="1 Imagen" descr="http://cdn4.hoy.com.do/wp-content/uploads/2013/12/caasd-1.jpg">
                    <a:extLst>
                      <a:ext uri="{FF2B5EF4-FFF2-40B4-BE49-F238E27FC236}">
                        <a16:creationId xmlns:a16="http://schemas.microsoft.com/office/drawing/2014/main" id="{CABAD35F-8950-4E54-92B4-C6C6C6BD13BA}"/>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1025" cy="771525"/>
                  </a:xfrm>
                  <a:prstGeom prst="rect">
                    <a:avLst/>
                  </a:prstGeom>
                  <a:noFill/>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B25DA"/>
    <w:multiLevelType w:val="hybridMultilevel"/>
    <w:tmpl w:val="AB4E4EE6"/>
    <w:lvl w:ilvl="0" w:tplc="1C0A0001">
      <w:start w:val="1"/>
      <w:numFmt w:val="bullet"/>
      <w:lvlText w:val=""/>
      <w:lvlJc w:val="left"/>
      <w:pPr>
        <w:ind w:left="774" w:hanging="360"/>
      </w:pPr>
      <w:rPr>
        <w:rFonts w:ascii="Symbol" w:hAnsi="Symbol" w:hint="default"/>
      </w:rPr>
    </w:lvl>
    <w:lvl w:ilvl="1" w:tplc="1C0A0003" w:tentative="1">
      <w:start w:val="1"/>
      <w:numFmt w:val="bullet"/>
      <w:lvlText w:val="o"/>
      <w:lvlJc w:val="left"/>
      <w:pPr>
        <w:ind w:left="1494" w:hanging="360"/>
      </w:pPr>
      <w:rPr>
        <w:rFonts w:ascii="Courier New" w:hAnsi="Courier New" w:cs="Courier New" w:hint="default"/>
      </w:rPr>
    </w:lvl>
    <w:lvl w:ilvl="2" w:tplc="1C0A0005" w:tentative="1">
      <w:start w:val="1"/>
      <w:numFmt w:val="bullet"/>
      <w:lvlText w:val=""/>
      <w:lvlJc w:val="left"/>
      <w:pPr>
        <w:ind w:left="2214" w:hanging="360"/>
      </w:pPr>
      <w:rPr>
        <w:rFonts w:ascii="Wingdings" w:hAnsi="Wingdings" w:hint="default"/>
      </w:rPr>
    </w:lvl>
    <w:lvl w:ilvl="3" w:tplc="1C0A0001" w:tentative="1">
      <w:start w:val="1"/>
      <w:numFmt w:val="bullet"/>
      <w:lvlText w:val=""/>
      <w:lvlJc w:val="left"/>
      <w:pPr>
        <w:ind w:left="2934" w:hanging="360"/>
      </w:pPr>
      <w:rPr>
        <w:rFonts w:ascii="Symbol" w:hAnsi="Symbol" w:hint="default"/>
      </w:rPr>
    </w:lvl>
    <w:lvl w:ilvl="4" w:tplc="1C0A0003" w:tentative="1">
      <w:start w:val="1"/>
      <w:numFmt w:val="bullet"/>
      <w:lvlText w:val="o"/>
      <w:lvlJc w:val="left"/>
      <w:pPr>
        <w:ind w:left="3654" w:hanging="360"/>
      </w:pPr>
      <w:rPr>
        <w:rFonts w:ascii="Courier New" w:hAnsi="Courier New" w:cs="Courier New" w:hint="default"/>
      </w:rPr>
    </w:lvl>
    <w:lvl w:ilvl="5" w:tplc="1C0A0005" w:tentative="1">
      <w:start w:val="1"/>
      <w:numFmt w:val="bullet"/>
      <w:lvlText w:val=""/>
      <w:lvlJc w:val="left"/>
      <w:pPr>
        <w:ind w:left="4374" w:hanging="360"/>
      </w:pPr>
      <w:rPr>
        <w:rFonts w:ascii="Wingdings" w:hAnsi="Wingdings" w:hint="default"/>
      </w:rPr>
    </w:lvl>
    <w:lvl w:ilvl="6" w:tplc="1C0A0001" w:tentative="1">
      <w:start w:val="1"/>
      <w:numFmt w:val="bullet"/>
      <w:lvlText w:val=""/>
      <w:lvlJc w:val="left"/>
      <w:pPr>
        <w:ind w:left="5094" w:hanging="360"/>
      </w:pPr>
      <w:rPr>
        <w:rFonts w:ascii="Symbol" w:hAnsi="Symbol" w:hint="default"/>
      </w:rPr>
    </w:lvl>
    <w:lvl w:ilvl="7" w:tplc="1C0A0003" w:tentative="1">
      <w:start w:val="1"/>
      <w:numFmt w:val="bullet"/>
      <w:lvlText w:val="o"/>
      <w:lvlJc w:val="left"/>
      <w:pPr>
        <w:ind w:left="5814" w:hanging="360"/>
      </w:pPr>
      <w:rPr>
        <w:rFonts w:ascii="Courier New" w:hAnsi="Courier New" w:cs="Courier New" w:hint="default"/>
      </w:rPr>
    </w:lvl>
    <w:lvl w:ilvl="8" w:tplc="1C0A0005" w:tentative="1">
      <w:start w:val="1"/>
      <w:numFmt w:val="bullet"/>
      <w:lvlText w:val=""/>
      <w:lvlJc w:val="left"/>
      <w:pPr>
        <w:ind w:left="6534" w:hanging="360"/>
      </w:pPr>
      <w:rPr>
        <w:rFonts w:ascii="Wingdings" w:hAnsi="Wingdings" w:hint="default"/>
      </w:rPr>
    </w:lvl>
  </w:abstractNum>
  <w:abstractNum w:abstractNumId="1" w15:restartNumberingAfterBreak="0">
    <w:nsid w:val="293061B1"/>
    <w:multiLevelType w:val="hybridMultilevel"/>
    <w:tmpl w:val="43C402B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3BEC7FA4"/>
    <w:multiLevelType w:val="hybridMultilevel"/>
    <w:tmpl w:val="2C5C3514"/>
    <w:lvl w:ilvl="0" w:tplc="1C0A0001">
      <w:start w:val="1"/>
      <w:numFmt w:val="bullet"/>
      <w:lvlText w:val=""/>
      <w:lvlJc w:val="left"/>
      <w:pPr>
        <w:ind w:left="360" w:hanging="360"/>
      </w:pPr>
      <w:rPr>
        <w:rFonts w:ascii="Symbol" w:hAnsi="Symbol" w:hint="default"/>
      </w:r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3" w15:restartNumberingAfterBreak="0">
    <w:nsid w:val="5E0D7433"/>
    <w:multiLevelType w:val="hybridMultilevel"/>
    <w:tmpl w:val="4574D3E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89F"/>
    <w:rsid w:val="0001357C"/>
    <w:rsid w:val="001268DE"/>
    <w:rsid w:val="001348AB"/>
    <w:rsid w:val="001B7139"/>
    <w:rsid w:val="001D6067"/>
    <w:rsid w:val="002F280E"/>
    <w:rsid w:val="00367C92"/>
    <w:rsid w:val="00410D06"/>
    <w:rsid w:val="00454C4D"/>
    <w:rsid w:val="00545025"/>
    <w:rsid w:val="00553EBA"/>
    <w:rsid w:val="005637F5"/>
    <w:rsid w:val="005E708C"/>
    <w:rsid w:val="006F42B3"/>
    <w:rsid w:val="00772312"/>
    <w:rsid w:val="007B789F"/>
    <w:rsid w:val="00826998"/>
    <w:rsid w:val="00874617"/>
    <w:rsid w:val="00876394"/>
    <w:rsid w:val="008D296F"/>
    <w:rsid w:val="00A06DE0"/>
    <w:rsid w:val="00A7480F"/>
    <w:rsid w:val="00B83050"/>
    <w:rsid w:val="00BF3909"/>
    <w:rsid w:val="00BF7D83"/>
    <w:rsid w:val="00C479A0"/>
    <w:rsid w:val="00C95866"/>
    <w:rsid w:val="00D428B3"/>
    <w:rsid w:val="00D72F17"/>
    <w:rsid w:val="00DC158F"/>
    <w:rsid w:val="00EA06D5"/>
    <w:rsid w:val="00EF16E3"/>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34A31"/>
  <w15:chartTrackingRefBased/>
  <w15:docId w15:val="{6D17F147-7155-40B7-A66A-8F799DAE8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0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296F"/>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rsid w:val="00EF16E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F16E3"/>
  </w:style>
  <w:style w:type="paragraph" w:styleId="Piedepgina">
    <w:name w:val="footer"/>
    <w:basedOn w:val="Normal"/>
    <w:link w:val="PiedepginaCar"/>
    <w:uiPriority w:val="99"/>
    <w:unhideWhenUsed/>
    <w:rsid w:val="00EF16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F1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1943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M. Polanco Albuerne</dc:creator>
  <cp:keywords/>
  <dc:description/>
  <cp:lastModifiedBy>Sergio M. Polanco Albuerne</cp:lastModifiedBy>
  <cp:revision>3</cp:revision>
  <dcterms:created xsi:type="dcterms:W3CDTF">2019-04-09T16:28:00Z</dcterms:created>
  <dcterms:modified xsi:type="dcterms:W3CDTF">2019-04-09T16:30:00Z</dcterms:modified>
</cp:coreProperties>
</file>