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9420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0142FC" w:rsidRPr="00030D63" w14:paraId="1C7A362A" w14:textId="77777777" w:rsidTr="00C33D2A">
        <w:tc>
          <w:tcPr>
            <w:tcW w:w="8411" w:type="dxa"/>
          </w:tcPr>
          <w:p w14:paraId="5745CD7B" w14:textId="77777777" w:rsidR="000142FC" w:rsidRPr="00030D63" w:rsidRDefault="000142FC" w:rsidP="00C33D2A">
            <w:pPr>
              <w:rPr>
                <w:lang w:val="es-ES"/>
              </w:rPr>
            </w:pPr>
            <w:r w:rsidRPr="00030D63">
              <w:rPr>
                <w:b/>
                <w:bCs/>
                <w:lang w:val="es-ES"/>
              </w:rPr>
              <w:t>Nombre del Proyecto:</w:t>
            </w:r>
            <w:r w:rsidRPr="00030D63">
              <w:rPr>
                <w:lang w:val="es-ES"/>
              </w:rPr>
              <w:t xml:space="preserve"> </w:t>
            </w:r>
          </w:p>
          <w:p w14:paraId="2BE8C92B" w14:textId="26DEBFA3" w:rsidR="000142FC" w:rsidRPr="00030D63" w:rsidRDefault="007B0055" w:rsidP="00C33D2A">
            <w:pPr>
              <w:rPr>
                <w:lang w:val="es-ES"/>
              </w:rPr>
            </w:pPr>
            <w:r w:rsidRPr="007B0055">
              <w:rPr>
                <w:lang w:val="es-ES"/>
              </w:rPr>
              <w:t>HABILITACIÓN DEL SISTEMA DE PRODUCCIÓN DE AGUA POTABLE, SECTOR LECHERIA, MANOGUAYABO, MUNICIPIO SANTO DOMINGO OESTE</w:t>
            </w:r>
          </w:p>
        </w:tc>
      </w:tr>
      <w:tr w:rsidR="007D66EA" w:rsidRPr="00030D63" w14:paraId="156B6BFF" w14:textId="77777777" w:rsidTr="00C33D2A">
        <w:tc>
          <w:tcPr>
            <w:tcW w:w="8411" w:type="dxa"/>
          </w:tcPr>
          <w:p w14:paraId="15F93B7A" w14:textId="72F61CF3" w:rsidR="007D66EA" w:rsidRPr="00030D63" w:rsidRDefault="007D66EA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0</w:t>
            </w:r>
            <w:bookmarkStart w:id="0" w:name="_GoBack"/>
            <w:bookmarkEnd w:id="0"/>
          </w:p>
        </w:tc>
      </w:tr>
      <w:tr w:rsidR="000142FC" w:rsidRPr="00030D63" w14:paraId="22C3A7E7" w14:textId="77777777" w:rsidTr="00C33D2A">
        <w:tc>
          <w:tcPr>
            <w:tcW w:w="8411" w:type="dxa"/>
          </w:tcPr>
          <w:p w14:paraId="177C9DEF" w14:textId="77777777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Estado del proyecto:      Nuevo </w:t>
            </w:r>
            <w:r w:rsidRPr="00874617">
              <w:rPr>
                <w:bCs/>
                <w:lang w:val="es-ES"/>
              </w:rPr>
              <w:t xml:space="preserve">X    </w:t>
            </w:r>
            <w:r w:rsidRPr="00030D63">
              <w:rPr>
                <w:b/>
                <w:bCs/>
                <w:lang w:val="es-ES"/>
              </w:rPr>
              <w:t xml:space="preserve">              Arrastre  </w:t>
            </w:r>
          </w:p>
        </w:tc>
      </w:tr>
      <w:tr w:rsidR="000142FC" w:rsidRPr="00030D63" w14:paraId="6FAD5E15" w14:textId="77777777" w:rsidTr="00C33D2A">
        <w:tc>
          <w:tcPr>
            <w:tcW w:w="8411" w:type="dxa"/>
          </w:tcPr>
          <w:p w14:paraId="470D06BC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59C82E84" w14:textId="5AFAD4F5" w:rsidR="000142FC" w:rsidRPr="00A06DE0" w:rsidRDefault="007B7ADB" w:rsidP="007B7ADB">
            <w:pPr>
              <w:spacing w:after="0"/>
              <w:jc w:val="both"/>
              <w:rPr>
                <w:bCs/>
                <w:lang w:val="es-ES"/>
              </w:rPr>
            </w:pPr>
            <w:r w:rsidRPr="007B7ADB">
              <w:rPr>
                <w:bCs/>
                <w:lang w:val="es-ES"/>
              </w:rPr>
              <w:t xml:space="preserve">El proyecto consiste principalmente en la rehabilitación de los componentes electromecánicos que conforman </w:t>
            </w:r>
            <w:proofErr w:type="spellStart"/>
            <w:r w:rsidR="007B0055">
              <w:rPr>
                <w:bCs/>
                <w:lang w:val="es-ES"/>
              </w:rPr>
              <w:t>Lecheria</w:t>
            </w:r>
            <w:proofErr w:type="spellEnd"/>
            <w:r w:rsidR="003071AC">
              <w:rPr>
                <w:bCs/>
                <w:lang w:val="es-ES"/>
              </w:rPr>
              <w:t xml:space="preserve"> para recuperar un caudal de producción de 7.41 Millones de galones diarios (MGD)</w:t>
            </w:r>
            <w:r w:rsidRPr="007B7ADB">
              <w:rPr>
                <w:bCs/>
                <w:lang w:val="es-ES"/>
              </w:rPr>
              <w:t xml:space="preserve">, así como la </w:t>
            </w:r>
            <w:r w:rsidR="007B0055">
              <w:rPr>
                <w:bCs/>
                <w:lang w:val="es-ES"/>
              </w:rPr>
              <w:t xml:space="preserve">construcción de una nueva línea de impulsión </w:t>
            </w:r>
            <w:r w:rsidR="003071AC">
              <w:rPr>
                <w:bCs/>
                <w:lang w:val="es-ES"/>
              </w:rPr>
              <w:t xml:space="preserve">de 9 km </w:t>
            </w:r>
            <w:r w:rsidR="007B0055">
              <w:rPr>
                <w:bCs/>
                <w:lang w:val="es-ES"/>
              </w:rPr>
              <w:t>que llevará el agua hacia en nuevo tanque de Los Montones para su distribución por gravedad</w:t>
            </w:r>
            <w:r w:rsidRPr="007B7ADB">
              <w:rPr>
                <w:bCs/>
                <w:lang w:val="es-ES"/>
              </w:rPr>
              <w:t>.</w:t>
            </w:r>
          </w:p>
        </w:tc>
      </w:tr>
      <w:tr w:rsidR="000142FC" w:rsidRPr="00030D63" w14:paraId="002CFE37" w14:textId="77777777" w:rsidTr="00C33D2A">
        <w:tc>
          <w:tcPr>
            <w:tcW w:w="8411" w:type="dxa"/>
          </w:tcPr>
          <w:p w14:paraId="68FF4D8D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Proyecto:</w:t>
            </w:r>
          </w:p>
          <w:p w14:paraId="254F193A" w14:textId="77777777" w:rsidR="000142FC" w:rsidRPr="00030D63" w:rsidRDefault="000142FC" w:rsidP="00C33D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 General</w:t>
            </w:r>
            <w:r w:rsidRPr="00030D63">
              <w:rPr>
                <w:b/>
                <w:lang w:val="es-ES"/>
              </w:rPr>
              <w:t>:</w:t>
            </w:r>
          </w:p>
          <w:p w14:paraId="5E94834D" w14:textId="32D88D2A" w:rsidR="007B0055" w:rsidRDefault="007B0055" w:rsidP="00C33D2A">
            <w:pPr>
              <w:rPr>
                <w:lang w:val="es-ES"/>
              </w:rPr>
            </w:pPr>
            <w:r w:rsidRPr="007B0055">
              <w:rPr>
                <w:lang w:val="es-ES"/>
              </w:rPr>
              <w:t>Recuperación de la capacidad normal de producción del sistema</w:t>
            </w:r>
            <w:r>
              <w:rPr>
                <w:lang w:val="es-ES"/>
              </w:rPr>
              <w:t xml:space="preserve"> Lechería</w:t>
            </w:r>
            <w:r w:rsidRPr="007B0055">
              <w:rPr>
                <w:lang w:val="es-ES"/>
              </w:rPr>
              <w:t>.</w:t>
            </w:r>
          </w:p>
          <w:p w14:paraId="7B5F2734" w14:textId="5FD73837" w:rsidR="000142FC" w:rsidRPr="00030D63" w:rsidRDefault="000142FC" w:rsidP="00C33D2A">
            <w:pPr>
              <w:rPr>
                <w:b/>
                <w:lang w:val="es-ES"/>
              </w:rPr>
            </w:pPr>
            <w:r w:rsidRPr="00030D63">
              <w:rPr>
                <w:b/>
                <w:lang w:val="es-ES"/>
              </w:rPr>
              <w:t>Objetivos específicos:</w:t>
            </w:r>
          </w:p>
          <w:p w14:paraId="36CF3976" w14:textId="77777777" w:rsidR="007B0055" w:rsidRDefault="007B0055" w:rsidP="007B00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Aumentar la capacidad de producción diaria</w:t>
            </w:r>
          </w:p>
          <w:p w14:paraId="46DC4426" w14:textId="77777777" w:rsidR="007B0055" w:rsidRDefault="007B0055" w:rsidP="007B00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Mejorar el acceso a los pozos</w:t>
            </w:r>
          </w:p>
          <w:p w14:paraId="4D1A2C94" w14:textId="60C35DBD" w:rsidR="000142FC" w:rsidRPr="000F5595" w:rsidRDefault="007B0055" w:rsidP="007B00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Adecuar las conexiones con la red de distribución  </w:t>
            </w:r>
          </w:p>
        </w:tc>
      </w:tr>
      <w:tr w:rsidR="000142FC" w:rsidRPr="00030D63" w14:paraId="68AD0872" w14:textId="77777777" w:rsidTr="00C33D2A">
        <w:tc>
          <w:tcPr>
            <w:tcW w:w="8411" w:type="dxa"/>
          </w:tcPr>
          <w:p w14:paraId="59212C4A" w14:textId="1D585D37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Población beneficiaria: </w:t>
            </w:r>
            <w:r w:rsidR="007B0055" w:rsidRPr="007B0055">
              <w:rPr>
                <w:bCs/>
                <w:lang w:val="es-ES"/>
              </w:rPr>
              <w:t>78,462 habitantes</w:t>
            </w:r>
          </w:p>
        </w:tc>
      </w:tr>
      <w:tr w:rsidR="000142FC" w:rsidRPr="00030D63" w14:paraId="3C14B93F" w14:textId="77777777" w:rsidTr="00C33D2A">
        <w:tc>
          <w:tcPr>
            <w:tcW w:w="8411" w:type="dxa"/>
          </w:tcPr>
          <w:p w14:paraId="5129E56A" w14:textId="5E7E202D" w:rsidR="000142FC" w:rsidRDefault="00745206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Sectores Beneficiados</w:t>
            </w:r>
            <w:r w:rsidR="000142FC">
              <w:rPr>
                <w:b/>
                <w:bCs/>
                <w:lang w:val="es-ES"/>
              </w:rPr>
              <w:t>:</w:t>
            </w:r>
          </w:p>
          <w:p w14:paraId="4F52F1D8" w14:textId="03BAA55B" w:rsidR="000142FC" w:rsidRPr="00410D06" w:rsidRDefault="007B0055" w:rsidP="00C33D2A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</w:t>
            </w:r>
            <w:r w:rsidR="00745206">
              <w:rPr>
                <w:bCs/>
                <w:lang w:val="es-ES"/>
              </w:rPr>
              <w:t xml:space="preserve">ectores del </w:t>
            </w:r>
            <w:r>
              <w:rPr>
                <w:bCs/>
                <w:lang w:val="es-ES"/>
              </w:rPr>
              <w:t>municipio Los Alcarrizos</w:t>
            </w:r>
          </w:p>
        </w:tc>
      </w:tr>
    </w:tbl>
    <w:p w14:paraId="01843989" w14:textId="688D5352" w:rsidR="00826998" w:rsidRDefault="00826998"/>
    <w:p w14:paraId="10C25E30" w14:textId="0BA41269" w:rsidR="00826998" w:rsidRDefault="00826998"/>
    <w:p w14:paraId="3062F7C0" w14:textId="77777777" w:rsidR="00826998" w:rsidRDefault="00826998"/>
    <w:p w14:paraId="621EB821" w14:textId="4F8ABE93" w:rsidR="00A06DE0" w:rsidRDefault="00A06DE0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7DA06" w14:textId="77777777" w:rsidR="009420BD" w:rsidRDefault="009420BD" w:rsidP="00EF16E3">
      <w:pPr>
        <w:spacing w:after="0" w:line="240" w:lineRule="auto"/>
      </w:pPr>
      <w:r>
        <w:separator/>
      </w:r>
    </w:p>
  </w:endnote>
  <w:endnote w:type="continuationSeparator" w:id="0">
    <w:p w14:paraId="5B707F83" w14:textId="77777777" w:rsidR="009420BD" w:rsidRDefault="009420BD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F3850" w14:textId="77777777" w:rsidR="009420BD" w:rsidRDefault="009420BD" w:rsidP="00EF16E3">
      <w:pPr>
        <w:spacing w:after="0" w:line="240" w:lineRule="auto"/>
      </w:pPr>
      <w:r>
        <w:separator/>
      </w:r>
    </w:p>
  </w:footnote>
  <w:footnote w:type="continuationSeparator" w:id="0">
    <w:p w14:paraId="55A47C9C" w14:textId="77777777" w:rsidR="009420BD" w:rsidRDefault="009420BD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0142FC"/>
    <w:rsid w:val="000F5595"/>
    <w:rsid w:val="0010015D"/>
    <w:rsid w:val="001268DE"/>
    <w:rsid w:val="001348AB"/>
    <w:rsid w:val="001B7139"/>
    <w:rsid w:val="001D6067"/>
    <w:rsid w:val="003071AC"/>
    <w:rsid w:val="00367C92"/>
    <w:rsid w:val="00410D06"/>
    <w:rsid w:val="00454C4D"/>
    <w:rsid w:val="004C04E2"/>
    <w:rsid w:val="00545025"/>
    <w:rsid w:val="00553EBA"/>
    <w:rsid w:val="005637F5"/>
    <w:rsid w:val="006F42B3"/>
    <w:rsid w:val="00745206"/>
    <w:rsid w:val="007B0055"/>
    <w:rsid w:val="007B789F"/>
    <w:rsid w:val="007B7ADB"/>
    <w:rsid w:val="007D66EA"/>
    <w:rsid w:val="00826998"/>
    <w:rsid w:val="0085137B"/>
    <w:rsid w:val="00874617"/>
    <w:rsid w:val="00876394"/>
    <w:rsid w:val="008D296F"/>
    <w:rsid w:val="009420BD"/>
    <w:rsid w:val="00944FEF"/>
    <w:rsid w:val="009A65BA"/>
    <w:rsid w:val="00A06DE0"/>
    <w:rsid w:val="00A7480F"/>
    <w:rsid w:val="00AB19BA"/>
    <w:rsid w:val="00B260EC"/>
    <w:rsid w:val="00B83050"/>
    <w:rsid w:val="00BF3909"/>
    <w:rsid w:val="00BF7D83"/>
    <w:rsid w:val="00C479A0"/>
    <w:rsid w:val="00C95866"/>
    <w:rsid w:val="00D07815"/>
    <w:rsid w:val="00D72F17"/>
    <w:rsid w:val="00DC158F"/>
    <w:rsid w:val="00E909E3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5</cp:revision>
  <dcterms:created xsi:type="dcterms:W3CDTF">2018-05-25T18:48:00Z</dcterms:created>
  <dcterms:modified xsi:type="dcterms:W3CDTF">2019-04-09T16:20:00Z</dcterms:modified>
</cp:coreProperties>
</file>