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E34B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3FFC42BA" w:rsidR="000142FC" w:rsidRPr="00030D63" w:rsidRDefault="007B7ADB" w:rsidP="00C33D2A">
            <w:pPr>
              <w:rPr>
                <w:lang w:val="es-ES"/>
              </w:rPr>
            </w:pPr>
            <w:r w:rsidRPr="007B7ADB">
              <w:rPr>
                <w:lang w:val="es-ES"/>
              </w:rPr>
              <w:t>REHABILITACION SISTEMA HAINA MANOGUAYABO, MUNICIPIO SANTO DOMINGO OESTE, PROVINCIA DE SANTO DOMINGO</w:t>
            </w:r>
          </w:p>
        </w:tc>
      </w:tr>
      <w:tr w:rsidR="00870CEB" w:rsidRPr="00030D63" w14:paraId="3C0F5A9F" w14:textId="77777777" w:rsidTr="00C33D2A">
        <w:tc>
          <w:tcPr>
            <w:tcW w:w="8411" w:type="dxa"/>
          </w:tcPr>
          <w:p w14:paraId="617AB8C5" w14:textId="20917664" w:rsidR="00870CEB" w:rsidRPr="00030D63" w:rsidRDefault="00870CEB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bookmarkStart w:id="0" w:name="_GoBack"/>
            <w:bookmarkEnd w:id="0"/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2021</w:t>
            </w:r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59C82E84" w14:textId="55D4D020" w:rsidR="000142FC" w:rsidRPr="00A06DE0" w:rsidRDefault="007B7ADB" w:rsidP="007B7ADB">
            <w:pPr>
              <w:spacing w:after="0"/>
              <w:jc w:val="both"/>
              <w:rPr>
                <w:bCs/>
                <w:lang w:val="es-ES"/>
              </w:rPr>
            </w:pPr>
            <w:r w:rsidRPr="007B7ADB">
              <w:rPr>
                <w:bCs/>
                <w:lang w:val="es-ES"/>
              </w:rPr>
              <w:t xml:space="preserve">El proyecto consiste principalmente en la rehabilitación de los componentes electromecánicos que conforman el sistema Haina </w:t>
            </w:r>
            <w:proofErr w:type="spellStart"/>
            <w:r w:rsidRPr="007B7ADB">
              <w:rPr>
                <w:bCs/>
                <w:lang w:val="es-ES"/>
              </w:rPr>
              <w:t>Manoguayabo</w:t>
            </w:r>
            <w:proofErr w:type="spellEnd"/>
            <w:r w:rsidRPr="007B7ADB">
              <w:rPr>
                <w:bCs/>
                <w:lang w:val="es-ES"/>
              </w:rPr>
              <w:t>, así como la readecuación de las estructuras que conforman los procesos de tratamiento del agua potable.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1F5CD7F1" w14:textId="77777777" w:rsidR="00745206" w:rsidRDefault="00745206" w:rsidP="00C33D2A">
            <w:pPr>
              <w:rPr>
                <w:lang w:val="es-ES"/>
              </w:rPr>
            </w:pPr>
            <w:r w:rsidRPr="00745206">
              <w:rPr>
                <w:lang w:val="es-ES"/>
              </w:rPr>
              <w:t xml:space="preserve">Rehabilitar y mejorar las operaciones que intervienen en el proceso de producción de agua potable del sistema Haina </w:t>
            </w:r>
            <w:proofErr w:type="spellStart"/>
            <w:r w:rsidRPr="00745206">
              <w:rPr>
                <w:lang w:val="es-ES"/>
              </w:rPr>
              <w:t>Manoguayabo</w:t>
            </w:r>
            <w:proofErr w:type="spellEnd"/>
            <w:r w:rsidRPr="00745206">
              <w:rPr>
                <w:lang w:val="es-ES"/>
              </w:rPr>
              <w:t>.</w:t>
            </w:r>
          </w:p>
          <w:p w14:paraId="7B5F2734" w14:textId="2E557456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03CB05A0" w14:textId="77777777" w:rsidR="00745206" w:rsidRDefault="00745206" w:rsidP="007452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Reducción del déficit de producción </w:t>
            </w:r>
          </w:p>
          <w:p w14:paraId="1EA38186" w14:textId="77777777" w:rsidR="00745206" w:rsidRDefault="00745206" w:rsidP="007452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Sustituir componentes descontinuados</w:t>
            </w:r>
          </w:p>
          <w:p w14:paraId="01ACC694" w14:textId="77777777" w:rsidR="00745206" w:rsidRDefault="00745206" w:rsidP="007452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Mejorar la operatividad</w:t>
            </w:r>
          </w:p>
          <w:p w14:paraId="4D1A2C94" w14:textId="1CA44274" w:rsidR="000142FC" w:rsidRPr="000F5595" w:rsidRDefault="00745206" w:rsidP="007452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Corregir los escapes en las líneas de cloro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362CD7A0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745206">
              <w:rPr>
                <w:bCs/>
                <w:lang w:val="es-ES"/>
              </w:rPr>
              <w:t>984,341</w:t>
            </w:r>
            <w:r w:rsidR="00745206" w:rsidRPr="004F6681">
              <w:rPr>
                <w:bCs/>
                <w:lang w:val="es-ES"/>
              </w:rPr>
              <w:t xml:space="preserve"> habitantes</w:t>
            </w:r>
          </w:p>
        </w:tc>
      </w:tr>
      <w:tr w:rsidR="000142FC" w:rsidRPr="00030D63" w14:paraId="3C14B93F" w14:textId="77777777" w:rsidTr="00C33D2A">
        <w:tc>
          <w:tcPr>
            <w:tcW w:w="8411" w:type="dxa"/>
          </w:tcPr>
          <w:p w14:paraId="5129E56A" w14:textId="5E7E202D" w:rsidR="000142FC" w:rsidRDefault="00745206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Sectores Beneficiados</w:t>
            </w:r>
            <w:r w:rsidR="000142FC">
              <w:rPr>
                <w:b/>
                <w:bCs/>
                <w:lang w:val="es-ES"/>
              </w:rPr>
              <w:t>:</w:t>
            </w:r>
          </w:p>
          <w:p w14:paraId="4F52F1D8" w14:textId="4FA38027" w:rsidR="000142FC" w:rsidRPr="00410D06" w:rsidRDefault="00745206" w:rsidP="00C33D2A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190 sectores del D.N. y Sto. </w:t>
            </w:r>
            <w:proofErr w:type="spellStart"/>
            <w:r>
              <w:rPr>
                <w:bCs/>
                <w:lang w:val="es-ES"/>
              </w:rPr>
              <w:t>Dgo</w:t>
            </w:r>
            <w:proofErr w:type="spellEnd"/>
            <w:r>
              <w:rPr>
                <w:bCs/>
                <w:lang w:val="es-ES"/>
              </w:rPr>
              <w:t>. Oeste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5AFA3" w14:textId="77777777" w:rsidR="00E34B81" w:rsidRDefault="00E34B81" w:rsidP="00EF16E3">
      <w:pPr>
        <w:spacing w:after="0" w:line="240" w:lineRule="auto"/>
      </w:pPr>
      <w:r>
        <w:separator/>
      </w:r>
    </w:p>
  </w:endnote>
  <w:endnote w:type="continuationSeparator" w:id="0">
    <w:p w14:paraId="7F87CABD" w14:textId="77777777" w:rsidR="00E34B81" w:rsidRDefault="00E34B81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A1A4E" w14:textId="77777777" w:rsidR="00E34B81" w:rsidRDefault="00E34B81" w:rsidP="00EF16E3">
      <w:pPr>
        <w:spacing w:after="0" w:line="240" w:lineRule="auto"/>
      </w:pPr>
      <w:r>
        <w:separator/>
      </w:r>
    </w:p>
  </w:footnote>
  <w:footnote w:type="continuationSeparator" w:id="0">
    <w:p w14:paraId="7F31B251" w14:textId="77777777" w:rsidR="00E34B81" w:rsidRDefault="00E34B81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5595"/>
    <w:rsid w:val="0010015D"/>
    <w:rsid w:val="001268DE"/>
    <w:rsid w:val="001348AB"/>
    <w:rsid w:val="001B7139"/>
    <w:rsid w:val="001D6067"/>
    <w:rsid w:val="00367C92"/>
    <w:rsid w:val="00410D06"/>
    <w:rsid w:val="00454C4D"/>
    <w:rsid w:val="00545025"/>
    <w:rsid w:val="00553EBA"/>
    <w:rsid w:val="005637F5"/>
    <w:rsid w:val="006F42B3"/>
    <w:rsid w:val="00745206"/>
    <w:rsid w:val="007B789F"/>
    <w:rsid w:val="007B7ADB"/>
    <w:rsid w:val="00826998"/>
    <w:rsid w:val="0085137B"/>
    <w:rsid w:val="00870CEB"/>
    <w:rsid w:val="00874617"/>
    <w:rsid w:val="00876394"/>
    <w:rsid w:val="008D296F"/>
    <w:rsid w:val="00944FEF"/>
    <w:rsid w:val="00A06DE0"/>
    <w:rsid w:val="00A7480F"/>
    <w:rsid w:val="00AB19BA"/>
    <w:rsid w:val="00B83050"/>
    <w:rsid w:val="00BF3909"/>
    <w:rsid w:val="00BF7D83"/>
    <w:rsid w:val="00C479A0"/>
    <w:rsid w:val="00C95866"/>
    <w:rsid w:val="00D07815"/>
    <w:rsid w:val="00D72F17"/>
    <w:rsid w:val="00DC158F"/>
    <w:rsid w:val="00E34B81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2018-05-25T18:36:00Z</dcterms:created>
  <dcterms:modified xsi:type="dcterms:W3CDTF">2019-04-09T16:16:00Z</dcterms:modified>
</cp:coreProperties>
</file>