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617" w:rsidRDefault="00446617" w:rsidP="00446617">
      <w:pPr>
        <w:jc w:val="center"/>
      </w:pPr>
      <w:bookmarkStart w:id="0" w:name="_Toc410128610"/>
      <w:bookmarkStart w:id="1" w:name="_Toc271530532"/>
      <w:bookmarkStart w:id="2" w:name="_Toc410128616"/>
      <w:r>
        <w:rPr>
          <w:rFonts w:ascii="Palatino Linotype" w:hAnsi="Palatino Linotype" w:cs="Arial"/>
          <w:noProof/>
          <w:lang w:eastAsia="es-DO"/>
        </w:rPr>
        <w:drawing>
          <wp:inline distT="0" distB="0" distL="0" distR="0" wp14:anchorId="699F6F10" wp14:editId="2474987F">
            <wp:extent cx="678815" cy="805815"/>
            <wp:effectExtent l="0" t="0" r="6985" b="0"/>
            <wp:docPr id="1" name="Imagen 1" descr="Descripción: logo_caas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logo_caasd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815" cy="805815"/>
                    </a:xfrm>
                    <a:prstGeom prst="rect">
                      <a:avLst/>
                    </a:prstGeom>
                    <a:noFill/>
                    <a:ln>
                      <a:noFill/>
                    </a:ln>
                  </pic:spPr>
                </pic:pic>
              </a:graphicData>
            </a:graphic>
          </wp:inline>
        </w:drawing>
      </w:r>
    </w:p>
    <w:p w:rsidR="00446617" w:rsidRPr="003B6265" w:rsidRDefault="00446617" w:rsidP="00446617">
      <w:pPr>
        <w:jc w:val="center"/>
        <w:rPr>
          <w:b/>
        </w:rPr>
      </w:pPr>
      <w:r w:rsidRPr="003B6265">
        <w:rPr>
          <w:b/>
          <w:sz w:val="32"/>
        </w:rPr>
        <w:t>Corporación del Acueducto y Alcantarillado de Santo Domingo</w:t>
      </w:r>
    </w:p>
    <w:p w:rsidR="00446617" w:rsidRDefault="00446617" w:rsidP="00446617">
      <w:pPr>
        <w:jc w:val="center"/>
      </w:pPr>
    </w:p>
    <w:p w:rsidR="00446617" w:rsidRDefault="00446617" w:rsidP="00446617">
      <w:pPr>
        <w:jc w:val="center"/>
        <w:rPr>
          <w:rFonts w:ascii="Arial Narrow" w:hAnsi="Arial Narrow"/>
        </w:rPr>
      </w:pPr>
      <w:r w:rsidRPr="001C385C">
        <w:rPr>
          <w:rFonts w:ascii="Arial Narrow" w:hAnsi="Arial Narrow"/>
        </w:rPr>
        <w:t>Enmienda No</w:t>
      </w:r>
      <w:r>
        <w:rPr>
          <w:rFonts w:ascii="Arial Narrow" w:hAnsi="Arial Narrow"/>
        </w:rPr>
        <w:t>.</w:t>
      </w:r>
      <w:r w:rsidR="00A43772">
        <w:rPr>
          <w:rFonts w:ascii="Arial Narrow" w:hAnsi="Arial Narrow"/>
        </w:rPr>
        <w:t xml:space="preserve"> 2</w:t>
      </w:r>
    </w:p>
    <w:p w:rsidR="00446617" w:rsidRPr="001C385C" w:rsidRDefault="00446617" w:rsidP="00446617">
      <w:pPr>
        <w:jc w:val="center"/>
        <w:rPr>
          <w:rFonts w:ascii="Arial Narrow" w:hAnsi="Arial Narrow"/>
        </w:rPr>
      </w:pPr>
      <w:r>
        <w:rPr>
          <w:rFonts w:ascii="Arial Narrow" w:hAnsi="Arial Narrow"/>
        </w:rPr>
        <w:t>12 de julio de 2016</w:t>
      </w:r>
    </w:p>
    <w:p w:rsidR="00446617" w:rsidRPr="00C078D7" w:rsidRDefault="00446617" w:rsidP="00446617">
      <w:pPr>
        <w:jc w:val="center"/>
        <w:rPr>
          <w:rFonts w:ascii="Arial Narrow" w:hAnsi="Arial Narrow"/>
        </w:rPr>
      </w:pPr>
    </w:p>
    <w:p w:rsidR="00446617" w:rsidRDefault="00446617" w:rsidP="00446617">
      <w:pPr>
        <w:jc w:val="center"/>
        <w:rPr>
          <w:rFonts w:ascii="Arial Narrow" w:hAnsi="Arial Narrow"/>
        </w:rPr>
      </w:pPr>
      <w:r w:rsidRPr="00C078D7">
        <w:rPr>
          <w:rFonts w:ascii="Arial Narrow" w:hAnsi="Arial Narrow"/>
        </w:rPr>
        <w:t xml:space="preserve">Procedimiento de </w:t>
      </w:r>
      <w:r>
        <w:rPr>
          <w:rFonts w:ascii="Arial Narrow" w:hAnsi="Arial Narrow"/>
        </w:rPr>
        <w:t>Urgencia</w:t>
      </w:r>
    </w:p>
    <w:p w:rsidR="00446617" w:rsidRPr="00C078D7" w:rsidRDefault="00446617" w:rsidP="00446617">
      <w:pPr>
        <w:jc w:val="center"/>
        <w:rPr>
          <w:rFonts w:ascii="Arial Narrow" w:hAnsi="Arial Narrow"/>
        </w:rPr>
      </w:pPr>
    </w:p>
    <w:p w:rsidR="00446617" w:rsidRPr="00C078D7" w:rsidRDefault="00446617" w:rsidP="00446617">
      <w:pPr>
        <w:jc w:val="center"/>
        <w:rPr>
          <w:rFonts w:ascii="Arial Narrow" w:hAnsi="Arial Narrow"/>
        </w:rPr>
      </w:pPr>
    </w:p>
    <w:p w:rsidR="00446617" w:rsidRDefault="00446617" w:rsidP="00446617">
      <w:pPr>
        <w:jc w:val="center"/>
        <w:rPr>
          <w:b/>
          <w:bCs/>
          <w:color w:val="000000" w:themeColor="text1"/>
        </w:rPr>
      </w:pPr>
      <w:r>
        <w:rPr>
          <w:b/>
          <w:bCs/>
          <w:color w:val="000000" w:themeColor="text1"/>
        </w:rPr>
        <w:t xml:space="preserve">Para </w:t>
      </w:r>
      <w:r w:rsidRPr="00CE14B6">
        <w:rPr>
          <w:b/>
          <w:bCs/>
          <w:color w:val="000000" w:themeColor="text1"/>
        </w:rPr>
        <w:t>la</w:t>
      </w:r>
      <w:r>
        <w:rPr>
          <w:b/>
          <w:bCs/>
          <w:color w:val="000000" w:themeColor="text1"/>
        </w:rPr>
        <w:t xml:space="preserve"> Adquisición de Químicos Coagulantes para Tratamiento de Aguas</w:t>
      </w:r>
    </w:p>
    <w:p w:rsidR="00446617" w:rsidRDefault="00446617" w:rsidP="00446617">
      <w:pPr>
        <w:jc w:val="center"/>
        <w:rPr>
          <w:rFonts w:ascii="Arial Narrow" w:hAnsi="Arial Narrow"/>
        </w:rPr>
      </w:pPr>
    </w:p>
    <w:p w:rsidR="00446617" w:rsidRPr="00C078D7" w:rsidRDefault="00446617" w:rsidP="00446617">
      <w:pPr>
        <w:jc w:val="center"/>
        <w:rPr>
          <w:rFonts w:ascii="Arial Narrow" w:hAnsi="Arial Narrow"/>
        </w:rPr>
      </w:pPr>
      <w:r>
        <w:rPr>
          <w:rFonts w:ascii="Arial Narrow" w:hAnsi="Arial Narrow"/>
        </w:rPr>
        <w:t>Referencia CAASD-UR-01</w:t>
      </w:r>
      <w:r w:rsidRPr="00C078D7">
        <w:rPr>
          <w:rFonts w:ascii="Arial Narrow" w:hAnsi="Arial Narrow"/>
        </w:rPr>
        <w:t>-2016</w:t>
      </w:r>
    </w:p>
    <w:p w:rsidR="00446617" w:rsidRDefault="00446617" w:rsidP="00446617">
      <w:pPr>
        <w:jc w:val="center"/>
        <w:rPr>
          <w:sz w:val="22"/>
          <w:szCs w:val="22"/>
        </w:rPr>
      </w:pPr>
    </w:p>
    <w:p w:rsidR="00446617" w:rsidRDefault="00446617" w:rsidP="00446617">
      <w:pPr>
        <w:jc w:val="both"/>
        <w:rPr>
          <w:rFonts w:ascii="Arial Narrow" w:hAnsi="Arial Narrow"/>
        </w:rPr>
      </w:pPr>
      <w:r w:rsidRPr="001C385C">
        <w:rPr>
          <w:rFonts w:ascii="Arial Narrow" w:hAnsi="Arial Narrow"/>
        </w:rPr>
        <w:t>De acuerdo y apegado a la ley 340-06 sobre Compras y Contrataciones Públicas y lo descrito en su artículo 18 Párrafo III, y en este pliego de condiciones específicas en su ac</w:t>
      </w:r>
      <w:r w:rsidRPr="001C385C">
        <w:rPr>
          <w:rFonts w:ascii="Arial Narrow" w:hAnsi="Arial Narrow"/>
          <w:color w:val="000000"/>
        </w:rPr>
        <w:t>á</w:t>
      </w:r>
      <w:r w:rsidRPr="001C385C">
        <w:rPr>
          <w:rFonts w:ascii="Arial Narrow" w:hAnsi="Arial Narrow"/>
        </w:rPr>
        <w:t xml:space="preserve">pite 1.29,  la Corporación del Acueducto y Alcantarillado de Santo Domingo procede a realizar la adenda o enmienda No. 1 al Pliego </w:t>
      </w:r>
      <w:r>
        <w:rPr>
          <w:rFonts w:ascii="Arial Narrow" w:hAnsi="Arial Narrow"/>
        </w:rPr>
        <w:t xml:space="preserve">de Condiciones Específicas </w:t>
      </w:r>
      <w:r w:rsidRPr="001C385C">
        <w:rPr>
          <w:rFonts w:ascii="Arial Narrow" w:hAnsi="Arial Narrow"/>
        </w:rPr>
        <w:t xml:space="preserve">del </w:t>
      </w:r>
      <w:r w:rsidRPr="00C078D7">
        <w:rPr>
          <w:rFonts w:ascii="Arial Narrow" w:hAnsi="Arial Narrow"/>
        </w:rPr>
        <w:t xml:space="preserve">Procedimiento de </w:t>
      </w:r>
      <w:r>
        <w:rPr>
          <w:rFonts w:ascii="Arial Narrow" w:hAnsi="Arial Narrow"/>
        </w:rPr>
        <w:t xml:space="preserve">Urgencia, </w:t>
      </w:r>
      <w:r w:rsidRPr="001C385C">
        <w:rPr>
          <w:rFonts w:ascii="Arial Narrow" w:hAnsi="Arial Narrow"/>
        </w:rPr>
        <w:t>Referencia CAASD-</w:t>
      </w:r>
      <w:r>
        <w:rPr>
          <w:rFonts w:ascii="Arial Narrow" w:hAnsi="Arial Narrow"/>
        </w:rPr>
        <w:t>UR-01-2016</w:t>
      </w:r>
      <w:r w:rsidRPr="001C385C">
        <w:rPr>
          <w:rFonts w:ascii="Arial Narrow" w:hAnsi="Arial Narrow"/>
        </w:rPr>
        <w:t>.</w:t>
      </w:r>
    </w:p>
    <w:p w:rsidR="00AE193E" w:rsidRDefault="00AE193E" w:rsidP="00AE193E">
      <w:pPr>
        <w:pStyle w:val="Ttulo3"/>
        <w:ind w:left="720" w:hanging="360"/>
      </w:pPr>
    </w:p>
    <w:p w:rsidR="00AE193E" w:rsidRDefault="00AE193E" w:rsidP="00AE193E">
      <w:pPr>
        <w:pStyle w:val="Ttulo3"/>
        <w:ind w:left="720" w:hanging="360"/>
      </w:pPr>
      <w:r>
        <w:t>Se modifica el acápite 2.1 Objeto de la Licitación para que en lo adelante se lea:</w:t>
      </w:r>
    </w:p>
    <w:p w:rsidR="00AE193E" w:rsidRPr="00820D48" w:rsidRDefault="00AE193E" w:rsidP="00AE193E"/>
    <w:p w:rsidR="00AE193E" w:rsidRPr="006F4D3D" w:rsidRDefault="00AE193E" w:rsidP="00AE193E">
      <w:pPr>
        <w:pStyle w:val="Ttulo3"/>
        <w:ind w:left="720"/>
      </w:pPr>
      <w:r w:rsidRPr="006F4D3D">
        <w:t>2.1 Objeto de la Licitación</w:t>
      </w:r>
    </w:p>
    <w:p w:rsidR="00AE193E" w:rsidRPr="00161AC3" w:rsidRDefault="00AE193E" w:rsidP="00AE193E">
      <w:pPr>
        <w:pStyle w:val="Textoindependiente"/>
        <w:rPr>
          <w:rFonts w:ascii="Arial Narrow" w:hAnsi="Arial Narrow" w:cs="Arial"/>
          <w:color w:val="auto"/>
        </w:rPr>
      </w:pPr>
    </w:p>
    <w:p w:rsidR="00AE193E" w:rsidRDefault="00AE193E" w:rsidP="00AE193E">
      <w:pPr>
        <w:jc w:val="both"/>
        <w:rPr>
          <w:rFonts w:ascii="Arial Narrow" w:hAnsi="Arial Narrow" w:cs="Arial"/>
        </w:rPr>
      </w:pPr>
      <w:r w:rsidRPr="006F4D3D">
        <w:rPr>
          <w:rFonts w:ascii="Arial Narrow" w:hAnsi="Arial Narrow" w:cs="Arial"/>
        </w:rPr>
        <w:t xml:space="preserve">Constituye el objeto de la presente convocatoria la </w:t>
      </w:r>
      <w:r>
        <w:rPr>
          <w:rFonts w:ascii="Arial Narrow" w:hAnsi="Arial Narrow" w:cs="Arial"/>
        </w:rPr>
        <w:t xml:space="preserve">Adquisición de: </w:t>
      </w:r>
    </w:p>
    <w:p w:rsidR="00AE193E" w:rsidRDefault="00AE193E" w:rsidP="00AE193E">
      <w:pPr>
        <w:jc w:val="both"/>
        <w:rPr>
          <w:rFonts w:ascii="Arial Narrow" w:hAnsi="Arial Narrow" w:cs="Arial"/>
        </w:rPr>
      </w:pPr>
    </w:p>
    <w:p w:rsidR="00AE193E" w:rsidRPr="005D617F" w:rsidRDefault="00AE193E" w:rsidP="00AE193E">
      <w:pPr>
        <w:pStyle w:val="Prrafodelista"/>
        <w:numPr>
          <w:ilvl w:val="0"/>
          <w:numId w:val="7"/>
        </w:numPr>
        <w:jc w:val="both"/>
        <w:rPr>
          <w:rFonts w:ascii="Arial Narrow" w:hAnsi="Arial Narrow" w:cs="Arial"/>
          <w:highlight w:val="yellow"/>
        </w:rPr>
      </w:pPr>
      <w:r>
        <w:rPr>
          <w:rFonts w:ascii="Arial Narrow" w:hAnsi="Arial Narrow" w:cs="Arial"/>
          <w:highlight w:val="yellow"/>
        </w:rPr>
        <w:t>4</w:t>
      </w:r>
      <w:proofErr w:type="gramStart"/>
      <w:r>
        <w:rPr>
          <w:rFonts w:ascii="Arial Narrow" w:hAnsi="Arial Narrow" w:cs="Arial"/>
          <w:highlight w:val="yellow"/>
        </w:rPr>
        <w:t>,500,000</w:t>
      </w:r>
      <w:proofErr w:type="gramEnd"/>
      <w:r>
        <w:rPr>
          <w:rFonts w:ascii="Arial Narrow" w:hAnsi="Arial Narrow" w:cs="Arial"/>
          <w:highlight w:val="yellow"/>
        </w:rPr>
        <w:t xml:space="preserve"> Kilogramos</w:t>
      </w:r>
      <w:r w:rsidRPr="005D617F">
        <w:rPr>
          <w:rFonts w:ascii="Arial Narrow" w:hAnsi="Arial Narrow" w:cs="Arial"/>
          <w:highlight w:val="yellow"/>
        </w:rPr>
        <w:t xml:space="preserve"> de Sulfato de Aluminio Grado A.</w:t>
      </w:r>
    </w:p>
    <w:p w:rsidR="00AE193E" w:rsidRPr="005D617F" w:rsidRDefault="00AE193E" w:rsidP="00AE193E">
      <w:pPr>
        <w:pStyle w:val="Prrafodelista"/>
        <w:numPr>
          <w:ilvl w:val="0"/>
          <w:numId w:val="7"/>
        </w:numPr>
        <w:jc w:val="both"/>
        <w:rPr>
          <w:rFonts w:ascii="Arial Narrow" w:hAnsi="Arial Narrow" w:cs="Arial"/>
          <w:highlight w:val="yellow"/>
        </w:rPr>
      </w:pPr>
      <w:r>
        <w:rPr>
          <w:rFonts w:ascii="Arial Narrow" w:hAnsi="Arial Narrow" w:cs="Arial"/>
          <w:highlight w:val="yellow"/>
        </w:rPr>
        <w:t>1,680,000</w:t>
      </w:r>
      <w:r w:rsidRPr="005D617F">
        <w:rPr>
          <w:rFonts w:ascii="Arial Narrow" w:hAnsi="Arial Narrow" w:cs="Arial"/>
          <w:highlight w:val="yellow"/>
        </w:rPr>
        <w:t xml:space="preserve"> </w:t>
      </w:r>
      <w:r>
        <w:rPr>
          <w:rFonts w:ascii="Arial Narrow" w:hAnsi="Arial Narrow" w:cs="Arial"/>
          <w:highlight w:val="yellow"/>
        </w:rPr>
        <w:t>Kilogramos</w:t>
      </w:r>
      <w:r w:rsidRPr="005D617F">
        <w:rPr>
          <w:rFonts w:ascii="Arial Narrow" w:hAnsi="Arial Narrow" w:cs="Arial"/>
          <w:highlight w:val="yellow"/>
        </w:rPr>
        <w:t xml:space="preserve"> de </w:t>
      </w:r>
      <w:r>
        <w:rPr>
          <w:rFonts w:ascii="Arial Narrow" w:hAnsi="Arial Narrow" w:cs="Arial"/>
          <w:highlight w:val="yellow"/>
        </w:rPr>
        <w:t xml:space="preserve">Sulfato de </w:t>
      </w:r>
      <w:r w:rsidRPr="005D617F">
        <w:rPr>
          <w:rFonts w:ascii="Arial Narrow" w:hAnsi="Arial Narrow" w:cs="Arial"/>
          <w:highlight w:val="yellow"/>
        </w:rPr>
        <w:t>Aluminio Liquido</w:t>
      </w:r>
    </w:p>
    <w:p w:rsidR="00AE193E" w:rsidRPr="005D617F" w:rsidRDefault="00AE193E" w:rsidP="00AE193E">
      <w:pPr>
        <w:pStyle w:val="Prrafodelista"/>
        <w:numPr>
          <w:ilvl w:val="0"/>
          <w:numId w:val="7"/>
        </w:numPr>
        <w:jc w:val="both"/>
        <w:rPr>
          <w:rFonts w:ascii="Arial Narrow" w:hAnsi="Arial Narrow" w:cs="Arial"/>
          <w:highlight w:val="yellow"/>
        </w:rPr>
      </w:pPr>
      <w:r>
        <w:rPr>
          <w:rFonts w:ascii="Arial Narrow" w:hAnsi="Arial Narrow" w:cs="Arial"/>
          <w:highlight w:val="yellow"/>
        </w:rPr>
        <w:t>1,680,000</w:t>
      </w:r>
      <w:r w:rsidRPr="005D617F">
        <w:rPr>
          <w:rFonts w:ascii="Arial Narrow" w:hAnsi="Arial Narrow" w:cs="Arial"/>
          <w:highlight w:val="yellow"/>
        </w:rPr>
        <w:t xml:space="preserve"> </w:t>
      </w:r>
      <w:r>
        <w:rPr>
          <w:rFonts w:ascii="Arial Narrow" w:hAnsi="Arial Narrow" w:cs="Arial"/>
          <w:highlight w:val="yellow"/>
        </w:rPr>
        <w:t>K</w:t>
      </w:r>
      <w:bookmarkStart w:id="3" w:name="_GoBack"/>
      <w:bookmarkEnd w:id="3"/>
      <w:r>
        <w:rPr>
          <w:rFonts w:ascii="Arial Narrow" w:hAnsi="Arial Narrow" w:cs="Arial"/>
          <w:highlight w:val="yellow"/>
        </w:rPr>
        <w:t>ilogramos</w:t>
      </w:r>
      <w:r w:rsidRPr="005D617F">
        <w:rPr>
          <w:rFonts w:ascii="Arial Narrow" w:hAnsi="Arial Narrow" w:cs="Arial"/>
          <w:highlight w:val="yellow"/>
        </w:rPr>
        <w:t xml:space="preserve"> de </w:t>
      </w:r>
      <w:proofErr w:type="spellStart"/>
      <w:r w:rsidRPr="005D617F">
        <w:rPr>
          <w:rFonts w:ascii="Arial Narrow" w:hAnsi="Arial Narrow" w:cs="Arial"/>
          <w:highlight w:val="yellow"/>
        </w:rPr>
        <w:t>Hidróxi</w:t>
      </w:r>
      <w:r>
        <w:rPr>
          <w:rFonts w:ascii="Arial Narrow" w:hAnsi="Arial Narrow" w:cs="Arial"/>
          <w:highlight w:val="yellow"/>
        </w:rPr>
        <w:t>cloruro</w:t>
      </w:r>
      <w:proofErr w:type="spellEnd"/>
      <w:r w:rsidRPr="005D617F">
        <w:rPr>
          <w:rFonts w:ascii="Arial Narrow" w:hAnsi="Arial Narrow" w:cs="Arial"/>
          <w:highlight w:val="yellow"/>
        </w:rPr>
        <w:t xml:space="preserve"> de Aluminio Liquido </w:t>
      </w:r>
    </w:p>
    <w:p w:rsidR="008507BF" w:rsidRPr="00446617" w:rsidRDefault="008507BF" w:rsidP="00BF5861">
      <w:pPr>
        <w:pStyle w:val="Ttulo3"/>
        <w:rPr>
          <w:lang w:val="es-DO"/>
        </w:rPr>
      </w:pPr>
    </w:p>
    <w:p w:rsidR="008507BF" w:rsidRDefault="008507BF" w:rsidP="00BF5861">
      <w:pPr>
        <w:pStyle w:val="Ttulo3"/>
      </w:pPr>
    </w:p>
    <w:p w:rsidR="00BF5861" w:rsidRPr="006F4D3D" w:rsidRDefault="00BF5861" w:rsidP="00BF5861">
      <w:pPr>
        <w:pStyle w:val="Ttulo3"/>
      </w:pPr>
      <w:r>
        <w:t>Se modifica 2.16</w:t>
      </w:r>
      <w:r w:rsidRPr="006F4D3D">
        <w:t xml:space="preserve"> Presentación de la Documentación Contenida en el  “Sobre B”</w:t>
      </w:r>
      <w:r>
        <w:t xml:space="preserve"> en lo adelante se leerá como sigue:</w:t>
      </w:r>
    </w:p>
    <w:p w:rsidR="00BF5861" w:rsidRDefault="00BF5861" w:rsidP="00BF5861">
      <w:pPr>
        <w:pStyle w:val="Ttulo3"/>
      </w:pPr>
    </w:p>
    <w:p w:rsidR="00BF5861" w:rsidRPr="006F4D3D" w:rsidRDefault="00BF5861" w:rsidP="00BF5861">
      <w:pPr>
        <w:pStyle w:val="Ttulo3"/>
      </w:pPr>
      <w:r>
        <w:t>2.16</w:t>
      </w:r>
      <w:r w:rsidRPr="006F4D3D">
        <w:t xml:space="preserve"> Presentación de la Documentación Contenida en el  “Sobre B”</w:t>
      </w:r>
      <w:bookmarkEnd w:id="0"/>
    </w:p>
    <w:p w:rsidR="00BF5861" w:rsidRPr="00161AC3" w:rsidRDefault="00BF5861" w:rsidP="00BF5861">
      <w:pPr>
        <w:rPr>
          <w:rFonts w:ascii="Arial Narrow" w:hAnsi="Arial Narrow" w:cs="Arial"/>
        </w:rPr>
      </w:pPr>
    </w:p>
    <w:p w:rsidR="00BF5861" w:rsidRPr="00814EC1" w:rsidRDefault="00BF5861" w:rsidP="00BF5861">
      <w:pPr>
        <w:pStyle w:val="Prrafodelista"/>
        <w:numPr>
          <w:ilvl w:val="0"/>
          <w:numId w:val="6"/>
        </w:numPr>
        <w:jc w:val="both"/>
        <w:rPr>
          <w:rFonts w:ascii="Arial Narrow" w:hAnsi="Arial Narrow" w:cs="Arial"/>
        </w:rPr>
      </w:pPr>
      <w:r w:rsidRPr="00814EC1">
        <w:rPr>
          <w:rFonts w:ascii="Arial Narrow" w:hAnsi="Arial Narrow" w:cs="Arial"/>
        </w:rPr>
        <w:t xml:space="preserve">Formulario de Presentación de Oferta Económica (SNCC.F.33), presentado en Un (1) original debidamente marcado como “ORIGINAL” en la primera página de la Oferta, junto con Tres (3) fotocopias simples de la misma, debidamente marcadas, en su primera página, como “COPIA”. El original y las copias deberán estar firmados en todas las páginas por el Representante Legal,  debidamente foliadas y deberán llevar el sello social de la compañía. </w:t>
      </w:r>
    </w:p>
    <w:p w:rsidR="00BF5861" w:rsidRPr="00814EC1" w:rsidRDefault="00BF5861" w:rsidP="00BF5861">
      <w:pPr>
        <w:jc w:val="both"/>
        <w:rPr>
          <w:rFonts w:ascii="Arial Narrow" w:hAnsi="Arial Narrow" w:cs="Arial"/>
        </w:rPr>
      </w:pPr>
    </w:p>
    <w:p w:rsidR="00BF5861" w:rsidRPr="00814EC1" w:rsidRDefault="00BF5861" w:rsidP="00BF5861">
      <w:pPr>
        <w:pStyle w:val="Prrafodelista"/>
        <w:numPr>
          <w:ilvl w:val="0"/>
          <w:numId w:val="6"/>
        </w:numPr>
        <w:jc w:val="both"/>
        <w:rPr>
          <w:rFonts w:ascii="Arial Narrow" w:hAnsi="Arial Narrow" w:cs="Arial"/>
        </w:rPr>
      </w:pPr>
      <w:r w:rsidRPr="00814EC1">
        <w:rPr>
          <w:rFonts w:ascii="Arial Narrow" w:hAnsi="Arial Narrow" w:cs="Arial"/>
        </w:rPr>
        <w:lastRenderedPageBreak/>
        <w:t xml:space="preserve">Garantía de la Seriedad de la Oferta.  Correspondiente a </w:t>
      </w:r>
      <w:r>
        <w:rPr>
          <w:rFonts w:ascii="Arial Narrow" w:hAnsi="Arial Narrow" w:cs="Arial"/>
        </w:rPr>
        <w:t>Garantía Bancaria por valor</w:t>
      </w:r>
      <w:r w:rsidRPr="00814EC1">
        <w:rPr>
          <w:rFonts w:ascii="Arial Narrow" w:hAnsi="Arial Narrow" w:cs="Arial"/>
        </w:rPr>
        <w:t xml:space="preserve"> del 1% del valor total de su Oferta Econó</w:t>
      </w:r>
      <w:r w:rsidR="00AE193E">
        <w:rPr>
          <w:rFonts w:ascii="Arial Narrow" w:hAnsi="Arial Narrow" w:cs="Arial"/>
        </w:rPr>
        <w:t xml:space="preserve">mica, con vigencia de </w:t>
      </w:r>
      <w:r w:rsidR="00AE193E" w:rsidRPr="00AE193E">
        <w:rPr>
          <w:rFonts w:ascii="Arial Narrow" w:hAnsi="Arial Narrow" w:cs="Arial"/>
          <w:highlight w:val="yellow"/>
        </w:rPr>
        <w:t>Treinta</w:t>
      </w:r>
      <w:r w:rsidRPr="00AE193E">
        <w:rPr>
          <w:rFonts w:ascii="Arial Narrow" w:hAnsi="Arial Narrow" w:cs="Arial"/>
          <w:highlight w:val="yellow"/>
        </w:rPr>
        <w:t xml:space="preserve"> (30)</w:t>
      </w:r>
      <w:r w:rsidRPr="00814EC1">
        <w:rPr>
          <w:rFonts w:ascii="Arial Narrow" w:hAnsi="Arial Narrow" w:cs="Arial"/>
        </w:rPr>
        <w:t xml:space="preserve"> días hábiles contados a partir de la apertura de las ofertas.</w:t>
      </w:r>
    </w:p>
    <w:p w:rsidR="00BF5861" w:rsidRDefault="00BF5861" w:rsidP="00BF5861">
      <w:pPr>
        <w:rPr>
          <w:rFonts w:ascii="Arial Narrow" w:hAnsi="Arial Narrow" w:cs="Arial"/>
        </w:rPr>
      </w:pPr>
    </w:p>
    <w:p w:rsidR="00BF5861" w:rsidRPr="00B616AC" w:rsidRDefault="00BF5861" w:rsidP="00BF5861">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BF5861" w:rsidRPr="003714DF" w:rsidRDefault="00BF5861" w:rsidP="00BF5861">
      <w:pPr>
        <w:pStyle w:val="Textoindependiente"/>
        <w:rPr>
          <w:rFonts w:ascii="Arial Narrow" w:hAnsi="Arial Narrow" w:cs="Arial"/>
          <w:color w:val="auto"/>
        </w:rPr>
      </w:pPr>
    </w:p>
    <w:p w:rsidR="00BF5861" w:rsidRPr="00C571BC" w:rsidRDefault="00BF5861" w:rsidP="00BF5861">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BF5861" w:rsidRPr="006F4D3D" w:rsidRDefault="00BF5861" w:rsidP="00BF5861">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BF5861" w:rsidRPr="006F4D3D" w:rsidRDefault="00BF5861" w:rsidP="00BF5861">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BF5861" w:rsidRPr="006F4D3D" w:rsidRDefault="00BF5861" w:rsidP="00BF5861">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BF5861" w:rsidRPr="006F4D3D" w:rsidRDefault="00BF5861" w:rsidP="00BF5861">
      <w:pPr>
        <w:pStyle w:val="Textoindependiente"/>
        <w:rPr>
          <w:rFonts w:ascii="Arial Narrow" w:hAnsi="Arial Narrow" w:cs="Arial"/>
          <w:color w:val="auto"/>
        </w:rPr>
      </w:pPr>
      <w:r w:rsidRPr="006F4D3D">
        <w:rPr>
          <w:rFonts w:ascii="Arial Narrow" w:hAnsi="Arial Narrow" w:cs="Arial"/>
          <w:color w:val="auto"/>
        </w:rPr>
        <w:t xml:space="preserve">                              </w:t>
      </w:r>
      <w:r w:rsidRPr="006F4D3D">
        <w:rPr>
          <w:rFonts w:ascii="Arial Narrow" w:hAnsi="Arial Narrow" w:cs="Arial"/>
          <w:color w:val="auto"/>
        </w:rPr>
        <w:tab/>
      </w:r>
      <w:r w:rsidRPr="006F4D3D">
        <w:rPr>
          <w:rFonts w:ascii="Arial Narrow" w:hAnsi="Arial Narrow" w:cs="Arial"/>
          <w:color w:val="auto"/>
        </w:rPr>
        <w:tab/>
      </w:r>
      <w:r>
        <w:rPr>
          <w:rFonts w:ascii="Arial Narrow" w:hAnsi="Arial Narrow" w:cs="Arial"/>
          <w:b/>
          <w:color w:val="990000"/>
        </w:rPr>
        <w:t>Corporación del Acueducto y Alcantarillado de Santo Domingo</w:t>
      </w:r>
    </w:p>
    <w:p w:rsidR="00BF5861" w:rsidRPr="006F4D3D" w:rsidRDefault="00BF5861" w:rsidP="00BF5861">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Pr="006F4D3D">
        <w:rPr>
          <w:rFonts w:ascii="Arial Narrow" w:hAnsi="Arial Narrow" w:cs="Arial"/>
          <w:b/>
          <w:color w:val="auto"/>
        </w:rPr>
        <w:t>OFERTA ECONÓMICA</w:t>
      </w:r>
    </w:p>
    <w:p w:rsidR="00BF5861" w:rsidRPr="006F4D3D" w:rsidRDefault="00BF5861" w:rsidP="00BF5861">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Pr="006F4D3D">
        <w:rPr>
          <w:rFonts w:ascii="Arial Narrow" w:hAnsi="Arial Narrow" w:cs="Arial"/>
          <w:color w:val="auto"/>
          <w:lang w:val="es-ES_tradnl"/>
        </w:rPr>
        <w:tab/>
        <w:t xml:space="preserve">       </w:t>
      </w:r>
      <w:r>
        <w:rPr>
          <w:rFonts w:ascii="Arial Narrow" w:hAnsi="Arial Narrow" w:cs="Arial"/>
          <w:b/>
        </w:rPr>
        <w:t>CAASD-UR-001-2016</w:t>
      </w:r>
      <w:r w:rsidRPr="00B616AC">
        <w:rPr>
          <w:rFonts w:ascii="Arial Narrow" w:hAnsi="Arial Narrow" w:cs="Arial"/>
        </w:rPr>
        <w:t xml:space="preserve"> </w:t>
      </w:r>
      <w:r w:rsidRPr="006F4D3D">
        <w:rPr>
          <w:rStyle w:val="Refdenotaalpie"/>
          <w:rFonts w:ascii="Arial Narrow" w:hAnsi="Arial Narrow" w:cs="Arial"/>
          <w:b/>
          <w:lang w:val="es-ES"/>
        </w:rPr>
        <w:footnoteReference w:id="1"/>
      </w:r>
    </w:p>
    <w:p w:rsidR="00BF5861" w:rsidRPr="00B616AC" w:rsidRDefault="00BF5861" w:rsidP="00BF5861">
      <w:pPr>
        <w:pStyle w:val="Textoindependiente"/>
        <w:rPr>
          <w:rFonts w:ascii="Arial Narrow" w:hAnsi="Arial Narrow" w:cs="Arial"/>
          <w:color w:val="auto"/>
        </w:rPr>
      </w:pPr>
    </w:p>
    <w:p w:rsidR="00BF5861" w:rsidRPr="006F4D3D" w:rsidRDefault="00BF5861" w:rsidP="00BF5861">
      <w:pPr>
        <w:pStyle w:val="Textoindependiente"/>
        <w:rPr>
          <w:rFonts w:ascii="Arial Narrow" w:hAnsi="Arial Narrow" w:cs="Arial"/>
          <w:color w:val="auto"/>
        </w:rPr>
      </w:pPr>
      <w:r w:rsidRPr="00B616AC">
        <w:rPr>
          <w:rFonts w:ascii="Arial Narrow" w:hAnsi="Arial Narrow" w:cs="Arial"/>
        </w:rPr>
        <w:t xml:space="preserve">Las Ofertas deberán ser presentadas únicas y exclusivamente en el formulario designado al efecto, </w:t>
      </w:r>
      <w:r w:rsidRPr="00B616AC">
        <w:rPr>
          <w:rFonts w:ascii="Arial Narrow" w:hAnsi="Arial Narrow" w:cs="Arial"/>
          <w:b/>
          <w:color w:val="800000"/>
        </w:rPr>
        <w:t>(SNCC.F.033</w:t>
      </w:r>
      <w:r w:rsidRPr="003714DF">
        <w:rPr>
          <w:rFonts w:ascii="Arial Narrow" w:hAnsi="Arial Narrow" w:cs="Arial"/>
          <w:b/>
          <w:color w:val="800000"/>
        </w:rPr>
        <w:t>)</w:t>
      </w:r>
      <w:r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BF5861" w:rsidRPr="006F4D3D" w:rsidRDefault="00BF5861" w:rsidP="00BF5861">
      <w:pPr>
        <w:jc w:val="both"/>
        <w:rPr>
          <w:rFonts w:ascii="Arial Narrow" w:hAnsi="Arial Narrow" w:cs="Arial"/>
        </w:rPr>
      </w:pPr>
    </w:p>
    <w:p w:rsidR="00BF5861" w:rsidRPr="006F4D3D" w:rsidRDefault="00BF5861" w:rsidP="00BF5861">
      <w:pPr>
        <w:jc w:val="both"/>
        <w:rPr>
          <w:rFonts w:ascii="Arial Narrow" w:hAnsi="Arial Narrow" w:cs="Arial"/>
        </w:rPr>
      </w:pPr>
      <w:r w:rsidRPr="006F4D3D">
        <w:rPr>
          <w:rFonts w:ascii="Arial Narrow" w:hAnsi="Arial Narrow" w:cs="Arial"/>
        </w:rPr>
        <w:t>La Oferta Económica deberá presentarse en Pesos Dominicanos (RD$)</w:t>
      </w:r>
      <w:r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BF5861" w:rsidRPr="006F4D3D" w:rsidRDefault="00BF5861" w:rsidP="00BF5861">
      <w:pPr>
        <w:jc w:val="both"/>
        <w:rPr>
          <w:rFonts w:ascii="Arial Narrow" w:hAnsi="Arial Narrow" w:cs="Arial"/>
        </w:rPr>
      </w:pPr>
    </w:p>
    <w:p w:rsidR="00BF5861" w:rsidRDefault="00BF5861" w:rsidP="00BF5861">
      <w:pPr>
        <w:jc w:val="both"/>
        <w:rPr>
          <w:rFonts w:ascii="Arial Narrow" w:hAnsi="Arial Narrow" w:cs="Arial"/>
        </w:rPr>
      </w:pPr>
      <w:r w:rsidRPr="00BF5861">
        <w:rPr>
          <w:rFonts w:ascii="Arial Narrow" w:hAnsi="Arial Narrow" w:cs="Arial"/>
          <w:highlight w:val="yellow"/>
        </w:rPr>
        <w:t xml:space="preserve">La CAASD solo cubrirá los costos por concepto de: Impuestos aduanales (ITBIS, Arancel y Tasa de Servicio Aduanero), por lo que el oferente deberá endosar </w:t>
      </w:r>
      <w:proofErr w:type="gramStart"/>
      <w:r w:rsidRPr="00BF5861">
        <w:rPr>
          <w:rFonts w:ascii="Arial Narrow" w:hAnsi="Arial Narrow" w:cs="Arial"/>
          <w:highlight w:val="yellow"/>
        </w:rPr>
        <w:t>los</w:t>
      </w:r>
      <w:proofErr w:type="gramEnd"/>
      <w:r w:rsidRPr="00BF5861">
        <w:rPr>
          <w:rFonts w:ascii="Arial Narrow" w:hAnsi="Arial Narrow" w:cs="Arial"/>
          <w:highlight w:val="yellow"/>
        </w:rPr>
        <w:t xml:space="preserve"> Bill of </w:t>
      </w:r>
      <w:proofErr w:type="spellStart"/>
      <w:r w:rsidRPr="00BF5861">
        <w:rPr>
          <w:rFonts w:ascii="Arial Narrow" w:hAnsi="Arial Narrow" w:cs="Arial"/>
          <w:highlight w:val="yellow"/>
        </w:rPr>
        <w:t>Lading</w:t>
      </w:r>
      <w:proofErr w:type="spellEnd"/>
      <w:r w:rsidRPr="00BF5861">
        <w:rPr>
          <w:rFonts w:ascii="Arial Narrow" w:hAnsi="Arial Narrow" w:cs="Arial"/>
          <w:highlight w:val="yellow"/>
        </w:rPr>
        <w:t xml:space="preserve"> a la Corporación del Acueducto y Alcantarillado de Santo Domingo (CAASD).</w:t>
      </w:r>
    </w:p>
    <w:p w:rsidR="00BF5861" w:rsidRDefault="00BF5861" w:rsidP="00BF5861">
      <w:pPr>
        <w:jc w:val="both"/>
        <w:rPr>
          <w:rFonts w:ascii="Arial Narrow" w:hAnsi="Arial Narrow" w:cs="Arial"/>
        </w:rPr>
      </w:pPr>
    </w:p>
    <w:p w:rsidR="00BF5861" w:rsidRDefault="00BF5861" w:rsidP="00BF5861">
      <w:pPr>
        <w:jc w:val="both"/>
        <w:rPr>
          <w:rFonts w:ascii="Arial Narrow" w:hAnsi="Arial Narrow" w:cs="Arial"/>
        </w:rPr>
      </w:pPr>
      <w:r>
        <w:rPr>
          <w:rFonts w:ascii="Arial Narrow" w:hAnsi="Arial Narrow" w:cs="Arial"/>
        </w:rPr>
        <w:t xml:space="preserve">El oferente deberá expresar el precio de la oferta en Costo Seguro y Flete (CIF), Puerto </w:t>
      </w:r>
      <w:proofErr w:type="spellStart"/>
      <w:r>
        <w:rPr>
          <w:rFonts w:ascii="Arial Narrow" w:hAnsi="Arial Narrow" w:cs="Arial"/>
        </w:rPr>
        <w:t>Caucedo</w:t>
      </w:r>
      <w:proofErr w:type="spellEnd"/>
      <w:r>
        <w:rPr>
          <w:rFonts w:ascii="Arial Narrow" w:hAnsi="Arial Narrow" w:cs="Arial"/>
        </w:rPr>
        <w:t xml:space="preserve"> o Rio Haina  tendrá que cubrir los costos, gastos y cobros de las Navieras por concepto de: Terminal </w:t>
      </w:r>
      <w:proofErr w:type="spellStart"/>
      <w:r>
        <w:rPr>
          <w:rFonts w:ascii="Arial Narrow" w:hAnsi="Arial Narrow" w:cs="Arial"/>
        </w:rPr>
        <w:t>Handling</w:t>
      </w:r>
      <w:proofErr w:type="spellEnd"/>
      <w:r>
        <w:rPr>
          <w:rFonts w:ascii="Arial Narrow" w:hAnsi="Arial Narrow" w:cs="Arial"/>
        </w:rPr>
        <w:t xml:space="preserve"> </w:t>
      </w:r>
      <w:proofErr w:type="spellStart"/>
      <w:r>
        <w:rPr>
          <w:rFonts w:ascii="Arial Narrow" w:hAnsi="Arial Narrow" w:cs="Arial"/>
        </w:rPr>
        <w:t>Charges</w:t>
      </w:r>
      <w:proofErr w:type="spellEnd"/>
      <w:r>
        <w:rPr>
          <w:rFonts w:ascii="Arial Narrow" w:hAnsi="Arial Narrow" w:cs="Arial"/>
        </w:rPr>
        <w:t xml:space="preserve"> (THC), Impresión de Bill of </w:t>
      </w:r>
      <w:proofErr w:type="spellStart"/>
      <w:r>
        <w:rPr>
          <w:rFonts w:ascii="Arial Narrow" w:hAnsi="Arial Narrow" w:cs="Arial"/>
        </w:rPr>
        <w:t>Lading</w:t>
      </w:r>
      <w:proofErr w:type="spellEnd"/>
      <w:r>
        <w:rPr>
          <w:rFonts w:ascii="Arial Narrow" w:hAnsi="Arial Narrow" w:cs="Arial"/>
        </w:rPr>
        <w:t xml:space="preserve"> e inclusive cualquier otro costo cobrado por Despachos Portuarios </w:t>
      </w:r>
      <w:proofErr w:type="spellStart"/>
      <w:r>
        <w:rPr>
          <w:rFonts w:ascii="Arial Narrow" w:hAnsi="Arial Narrow" w:cs="Arial"/>
        </w:rPr>
        <w:t>Hispaniola</w:t>
      </w:r>
      <w:proofErr w:type="spellEnd"/>
      <w:r>
        <w:rPr>
          <w:rFonts w:ascii="Arial Narrow" w:hAnsi="Arial Narrow" w:cs="Arial"/>
        </w:rPr>
        <w:t xml:space="preserve">, S.A.S ( por uso de chasis, contenedores y moras de los mismos), por Zona Franca Multimodal </w:t>
      </w:r>
      <w:proofErr w:type="spellStart"/>
      <w:r>
        <w:rPr>
          <w:rFonts w:ascii="Arial Narrow" w:hAnsi="Arial Narrow" w:cs="Arial"/>
        </w:rPr>
        <w:t>Caucedo</w:t>
      </w:r>
      <w:proofErr w:type="spellEnd"/>
      <w:r>
        <w:rPr>
          <w:rFonts w:ascii="Arial Narrow" w:hAnsi="Arial Narrow" w:cs="Arial"/>
        </w:rPr>
        <w:t>, Por Haina International Terminal y por Autoridad Portuaria e inclusive cualquier otro costo cobrado por concepto de Fletes de Importación, así como también el transporte terrestre y las descargas.</w:t>
      </w:r>
    </w:p>
    <w:p w:rsidR="00BF5861" w:rsidRPr="006F4D3D" w:rsidRDefault="00BF5861" w:rsidP="00BF5861">
      <w:pPr>
        <w:jc w:val="both"/>
        <w:rPr>
          <w:rFonts w:ascii="Arial Narrow" w:hAnsi="Arial Narrow" w:cs="Arial"/>
        </w:rPr>
      </w:pPr>
    </w:p>
    <w:p w:rsidR="00BF5861" w:rsidRPr="006F4D3D" w:rsidRDefault="00BF5861" w:rsidP="00BF5861">
      <w:pPr>
        <w:jc w:val="both"/>
        <w:rPr>
          <w:rFonts w:ascii="Arial Narrow" w:hAnsi="Arial Narrow" w:cs="Arial"/>
        </w:rPr>
      </w:pPr>
      <w:r w:rsidRPr="006F4D3D">
        <w:rPr>
          <w:rFonts w:ascii="Arial Narrow" w:hAnsi="Arial Narrow" w:cs="Arial"/>
        </w:rPr>
        <w:t>El Oferente/Proponente que coti</w:t>
      </w:r>
      <w:r>
        <w:rPr>
          <w:rFonts w:ascii="Arial Narrow" w:hAnsi="Arial Narrow" w:cs="Arial"/>
        </w:rPr>
        <w:t>c</w:t>
      </w:r>
      <w:r w:rsidRPr="006F4D3D">
        <w:rPr>
          <w:rFonts w:ascii="Arial Narrow" w:hAnsi="Arial Narrow" w:cs="Arial"/>
        </w:rPr>
        <w:t xml:space="preserve">e en cualquier moneda distinta al Peso Dominicano (RD$), </w:t>
      </w:r>
      <w:r w:rsidRPr="006F4D3D">
        <w:rPr>
          <w:rFonts w:ascii="Arial Narrow" w:hAnsi="Arial Narrow" w:cs="Arial"/>
          <w:b/>
          <w:u w:val="single"/>
        </w:rPr>
        <w:t>se auto-descalifica para ser adjudicatario</w:t>
      </w:r>
      <w:proofErr w:type="gramStart"/>
      <w:r w:rsidRPr="006F4D3D">
        <w:rPr>
          <w:rFonts w:ascii="Arial Narrow" w:hAnsi="Arial Narrow" w:cs="Arial"/>
          <w:b/>
          <w:u w:val="single"/>
        </w:rPr>
        <w:t>.</w:t>
      </w:r>
      <w:r w:rsidRPr="006F4D3D">
        <w:rPr>
          <w:rFonts w:ascii="Arial Narrow" w:hAnsi="Arial Narrow" w:cs="Arial"/>
        </w:rPr>
        <w:t>.</w:t>
      </w:r>
      <w:proofErr w:type="gramEnd"/>
    </w:p>
    <w:p w:rsidR="00BF5861" w:rsidRPr="006F4D3D" w:rsidRDefault="00BF5861" w:rsidP="00BF5861">
      <w:pPr>
        <w:jc w:val="both"/>
        <w:rPr>
          <w:rFonts w:ascii="Arial Narrow" w:hAnsi="Arial Narrow" w:cs="Arial"/>
        </w:rPr>
      </w:pPr>
    </w:p>
    <w:p w:rsidR="00BF5861" w:rsidRPr="006F4D3D" w:rsidRDefault="00BF5861" w:rsidP="00BF5861">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Pr>
          <w:rFonts w:ascii="Arial Narrow" w:hAnsi="Arial Narrow" w:cs="Arial"/>
          <w:b/>
          <w:color w:val="800000"/>
        </w:rPr>
        <w:t xml:space="preserve">la Corporación del Acueducto y Alcantarillado de Santo Domingo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BF5861" w:rsidRPr="006F4D3D" w:rsidRDefault="00BF5861" w:rsidP="00BF5861">
      <w:pPr>
        <w:jc w:val="both"/>
        <w:rPr>
          <w:rFonts w:ascii="Arial Narrow" w:hAnsi="Arial Narrow" w:cs="Arial"/>
        </w:rPr>
      </w:pPr>
    </w:p>
    <w:p w:rsidR="00BF5861" w:rsidRPr="006F4D3D" w:rsidRDefault="00BF5861" w:rsidP="00BF5861">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Pr>
          <w:rFonts w:ascii="Arial Narrow" w:hAnsi="Arial Narrow" w:cs="Arial"/>
          <w:b/>
          <w:color w:val="800000"/>
        </w:rPr>
        <w:t xml:space="preserve">la Corporación del Acueducto y Alcantarillado de Santo Domingo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BF5861" w:rsidRPr="006F4D3D" w:rsidRDefault="00BF5861" w:rsidP="00BF5861">
      <w:pPr>
        <w:jc w:val="both"/>
        <w:rPr>
          <w:rFonts w:ascii="Arial Narrow" w:hAnsi="Arial Narrow" w:cs="Arial"/>
        </w:rPr>
      </w:pPr>
    </w:p>
    <w:p w:rsidR="00BF5861" w:rsidRPr="006F4D3D" w:rsidRDefault="00BF5861" w:rsidP="00BF5861">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BF5861" w:rsidRPr="006F4D3D" w:rsidRDefault="00BF5861" w:rsidP="00BF5861">
      <w:pPr>
        <w:jc w:val="both"/>
        <w:rPr>
          <w:rFonts w:ascii="Arial Narrow" w:hAnsi="Arial Narrow" w:cs="Arial"/>
        </w:rPr>
      </w:pPr>
    </w:p>
    <w:p w:rsidR="00BF5861" w:rsidRPr="006F4D3D" w:rsidRDefault="00BF5861" w:rsidP="00BF5861">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deberán ser dados en la unidad de medida establecida en el Formulario de Oferta Económica.</w:t>
      </w:r>
    </w:p>
    <w:p w:rsidR="00BF5861" w:rsidRPr="006F4D3D" w:rsidRDefault="00BF5861" w:rsidP="00BF5861">
      <w:pPr>
        <w:jc w:val="both"/>
        <w:rPr>
          <w:rFonts w:ascii="Arial Narrow" w:hAnsi="Arial Narrow" w:cs="Arial"/>
        </w:rPr>
      </w:pPr>
    </w:p>
    <w:p w:rsidR="00BF5861" w:rsidRPr="006F4D3D" w:rsidRDefault="00BF5861" w:rsidP="00BF5861">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solo se tomará en cuenta la cotización  únicamente de lo evaluado CONFORME en el proceso de evaluación técnica.</w:t>
      </w:r>
    </w:p>
    <w:p w:rsidR="00BF5861" w:rsidRPr="006F4D3D" w:rsidRDefault="00BF5861" w:rsidP="00BF5861">
      <w:pPr>
        <w:jc w:val="both"/>
        <w:rPr>
          <w:rFonts w:ascii="Arial Narrow" w:hAnsi="Arial Narrow" w:cs="Arial"/>
        </w:rPr>
      </w:pPr>
    </w:p>
    <w:p w:rsidR="00BF5861" w:rsidRPr="006F4D3D" w:rsidRDefault="00BF5861" w:rsidP="00BF5861">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0C691F" w:rsidRPr="00BF5861" w:rsidRDefault="000C691F" w:rsidP="008609E6">
      <w:pPr>
        <w:pStyle w:val="Ttulo3"/>
        <w:rPr>
          <w:lang w:val="es-DO"/>
        </w:rPr>
      </w:pPr>
    </w:p>
    <w:p w:rsidR="000C691F" w:rsidRDefault="000C691F" w:rsidP="008609E6">
      <w:pPr>
        <w:pStyle w:val="Ttulo3"/>
      </w:pPr>
    </w:p>
    <w:p w:rsidR="008609E6" w:rsidRDefault="000C691F" w:rsidP="008609E6">
      <w:pPr>
        <w:pStyle w:val="Ttulo3"/>
      </w:pPr>
      <w:r>
        <w:t xml:space="preserve">Se modifica el Acápite </w:t>
      </w:r>
      <w:r w:rsidR="008609E6" w:rsidRPr="006F4D3D">
        <w:t xml:space="preserve">3.4 Criterios de </w:t>
      </w:r>
      <w:bookmarkEnd w:id="1"/>
      <w:r w:rsidR="008609E6" w:rsidRPr="006F4D3D">
        <w:t>Evaluación</w:t>
      </w:r>
      <w:bookmarkEnd w:id="2"/>
      <w:r>
        <w:t xml:space="preserve"> para que en lo adelante se lea como sigue:</w:t>
      </w:r>
    </w:p>
    <w:p w:rsidR="000C691F" w:rsidRDefault="000C691F" w:rsidP="000C691F">
      <w:pPr>
        <w:rPr>
          <w:lang w:val="es-ES"/>
        </w:rPr>
      </w:pPr>
    </w:p>
    <w:p w:rsidR="000C691F" w:rsidRPr="000C691F" w:rsidRDefault="000C691F" w:rsidP="000C691F">
      <w:pPr>
        <w:rPr>
          <w:lang w:val="es-ES"/>
        </w:rPr>
      </w:pPr>
      <w:r w:rsidRPr="006F4D3D">
        <w:t>3.4 Criterios de Evaluación</w:t>
      </w:r>
    </w:p>
    <w:p w:rsidR="000C691F" w:rsidRDefault="000C691F" w:rsidP="000C691F">
      <w:pPr>
        <w:jc w:val="both"/>
        <w:rPr>
          <w:rFonts w:ascii="Arial Narrow" w:hAnsi="Arial Narrow" w:cs="Arial"/>
          <w:color w:val="000000" w:themeColor="text1"/>
        </w:rPr>
      </w:pPr>
    </w:p>
    <w:p w:rsidR="008609E6" w:rsidRPr="000C691F" w:rsidRDefault="000C691F" w:rsidP="008609E6">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8609E6" w:rsidRDefault="008609E6" w:rsidP="008609E6">
      <w:pPr>
        <w:jc w:val="both"/>
        <w:rPr>
          <w:rFonts w:ascii="Arial Narrow" w:hAnsi="Arial Narrow" w:cs="Arial"/>
          <w:color w:val="000000" w:themeColor="text1"/>
        </w:rPr>
      </w:pPr>
    </w:p>
    <w:p w:rsidR="008507BF" w:rsidRPr="00814EC1" w:rsidRDefault="008507BF" w:rsidP="008609E6">
      <w:pPr>
        <w:jc w:val="both"/>
        <w:rPr>
          <w:rFonts w:ascii="Arial Narrow" w:hAnsi="Arial Narrow" w:cs="Arial"/>
          <w:color w:val="000000" w:themeColor="text1"/>
        </w:rPr>
      </w:pPr>
    </w:p>
    <w:tbl>
      <w:tblPr>
        <w:tblStyle w:val="Tablaconcuadrcula"/>
        <w:tblW w:w="0" w:type="auto"/>
        <w:tblInd w:w="392" w:type="dxa"/>
        <w:tblLook w:val="04A0" w:firstRow="1" w:lastRow="0" w:firstColumn="1" w:lastColumn="0" w:noHBand="0" w:noVBand="1"/>
      </w:tblPr>
      <w:tblGrid>
        <w:gridCol w:w="6379"/>
      </w:tblGrid>
      <w:tr w:rsidR="008609E6" w:rsidRPr="00814EC1" w:rsidTr="009610F6">
        <w:tc>
          <w:tcPr>
            <w:tcW w:w="6379" w:type="dxa"/>
          </w:tcPr>
          <w:p w:rsidR="008609E6" w:rsidRPr="000C691F" w:rsidRDefault="008609E6" w:rsidP="009610F6">
            <w:pPr>
              <w:jc w:val="center"/>
              <w:rPr>
                <w:rFonts w:ascii="Arial Narrow" w:hAnsi="Arial Narrow" w:cs="Arial"/>
                <w:b/>
                <w:color w:val="000000" w:themeColor="text1"/>
              </w:rPr>
            </w:pPr>
            <w:r w:rsidRPr="000C691F">
              <w:rPr>
                <w:rFonts w:ascii="Arial Narrow" w:hAnsi="Arial Narrow" w:cs="Arial"/>
                <w:b/>
                <w:color w:val="000000" w:themeColor="text1"/>
              </w:rPr>
              <w:t>CRITERIOS DE EVALUACION</w:t>
            </w:r>
          </w:p>
        </w:tc>
      </w:tr>
      <w:tr w:rsidR="008609E6" w:rsidRPr="00814EC1" w:rsidTr="009610F6">
        <w:tc>
          <w:tcPr>
            <w:tcW w:w="6379" w:type="dxa"/>
          </w:tcPr>
          <w:p w:rsidR="008609E6" w:rsidRPr="000C691F" w:rsidRDefault="008609E6" w:rsidP="009610F6">
            <w:pPr>
              <w:rPr>
                <w:rFonts w:ascii="Arial Narrow" w:hAnsi="Arial Narrow" w:cs="Arial"/>
                <w:b/>
                <w:color w:val="000000" w:themeColor="text1"/>
              </w:rPr>
            </w:pPr>
            <w:r w:rsidRPr="000C691F">
              <w:rPr>
                <w:rFonts w:ascii="Arial Narrow" w:hAnsi="Arial Narrow" w:cs="Arial"/>
                <w:b/>
                <w:color w:val="000000" w:themeColor="text1"/>
              </w:rPr>
              <w:t xml:space="preserve">Documentación General   </w:t>
            </w:r>
          </w:p>
        </w:tc>
      </w:tr>
      <w:tr w:rsidR="008609E6" w:rsidRPr="00814EC1" w:rsidTr="009610F6">
        <w:tc>
          <w:tcPr>
            <w:tcW w:w="6379" w:type="dxa"/>
          </w:tcPr>
          <w:p w:rsidR="008609E6" w:rsidRPr="000C691F" w:rsidRDefault="008609E6" w:rsidP="009610F6">
            <w:pPr>
              <w:rPr>
                <w:rFonts w:ascii="Arial Narrow" w:hAnsi="Arial Narrow" w:cs="Arial"/>
                <w:b/>
                <w:color w:val="000000" w:themeColor="text1"/>
              </w:rPr>
            </w:pPr>
            <w:r w:rsidRPr="000C691F">
              <w:rPr>
                <w:rFonts w:ascii="Arial Narrow" w:hAnsi="Arial Narrow" w:cs="Arial"/>
                <w:b/>
                <w:color w:val="000000" w:themeColor="text1"/>
              </w:rPr>
              <w:t xml:space="preserve">Especificaciones Técnicas </w:t>
            </w:r>
          </w:p>
        </w:tc>
      </w:tr>
      <w:tr w:rsidR="008609E6" w:rsidRPr="00814EC1" w:rsidTr="009610F6">
        <w:tc>
          <w:tcPr>
            <w:tcW w:w="6379" w:type="dxa"/>
          </w:tcPr>
          <w:p w:rsidR="008609E6" w:rsidRPr="000C691F" w:rsidRDefault="008609E6" w:rsidP="009610F6">
            <w:pPr>
              <w:rPr>
                <w:rFonts w:ascii="Arial Narrow" w:hAnsi="Arial Narrow" w:cs="Arial"/>
                <w:b/>
                <w:color w:val="000000" w:themeColor="text1"/>
              </w:rPr>
            </w:pPr>
            <w:r w:rsidRPr="000C691F">
              <w:rPr>
                <w:rFonts w:ascii="Arial Narrow" w:hAnsi="Arial Narrow" w:cs="Arial"/>
                <w:b/>
                <w:color w:val="000000" w:themeColor="text1"/>
              </w:rPr>
              <w:t xml:space="preserve">Disponibilidad                   </w:t>
            </w:r>
          </w:p>
        </w:tc>
      </w:tr>
      <w:tr w:rsidR="008609E6" w:rsidRPr="00814EC1" w:rsidTr="009610F6">
        <w:tc>
          <w:tcPr>
            <w:tcW w:w="6379" w:type="dxa"/>
          </w:tcPr>
          <w:p w:rsidR="008609E6" w:rsidRPr="000C691F" w:rsidRDefault="008609E6" w:rsidP="009610F6">
            <w:pPr>
              <w:rPr>
                <w:rFonts w:ascii="Arial Narrow" w:hAnsi="Arial Narrow" w:cs="Arial"/>
                <w:b/>
                <w:color w:val="000000" w:themeColor="text1"/>
              </w:rPr>
            </w:pPr>
            <w:r w:rsidRPr="000C691F">
              <w:rPr>
                <w:rFonts w:ascii="Arial Narrow" w:hAnsi="Arial Narrow" w:cs="Arial"/>
                <w:b/>
                <w:color w:val="000000" w:themeColor="text1"/>
              </w:rPr>
              <w:t xml:space="preserve">Capacidad Financiera    </w:t>
            </w:r>
          </w:p>
        </w:tc>
      </w:tr>
      <w:tr w:rsidR="008609E6" w:rsidRPr="00814EC1" w:rsidTr="009610F6">
        <w:tc>
          <w:tcPr>
            <w:tcW w:w="6379" w:type="dxa"/>
          </w:tcPr>
          <w:p w:rsidR="008609E6" w:rsidRPr="000C691F" w:rsidRDefault="008609E6" w:rsidP="009610F6">
            <w:pPr>
              <w:rPr>
                <w:rFonts w:ascii="Arial Narrow" w:hAnsi="Arial Narrow" w:cs="Arial"/>
                <w:b/>
                <w:color w:val="000000" w:themeColor="text1"/>
              </w:rPr>
            </w:pPr>
            <w:r w:rsidRPr="000C691F">
              <w:rPr>
                <w:rFonts w:ascii="Arial Narrow" w:hAnsi="Arial Narrow" w:cs="Arial"/>
                <w:b/>
                <w:color w:val="000000" w:themeColor="text1"/>
              </w:rPr>
              <w:t xml:space="preserve">Oferta Económica       </w:t>
            </w:r>
          </w:p>
        </w:tc>
      </w:tr>
      <w:tr w:rsidR="006A56C6" w:rsidRPr="00814EC1" w:rsidTr="009610F6">
        <w:tc>
          <w:tcPr>
            <w:tcW w:w="6379" w:type="dxa"/>
          </w:tcPr>
          <w:p w:rsidR="006A56C6" w:rsidRPr="000C691F" w:rsidRDefault="006A56C6" w:rsidP="009610F6">
            <w:pPr>
              <w:rPr>
                <w:rFonts w:ascii="Arial Narrow" w:hAnsi="Arial Narrow" w:cs="Arial"/>
                <w:b/>
                <w:color w:val="000000" w:themeColor="text1"/>
              </w:rPr>
            </w:pPr>
            <w:r w:rsidRPr="000C691F">
              <w:rPr>
                <w:rFonts w:ascii="Arial Narrow" w:hAnsi="Arial Narrow" w:cs="Arial"/>
                <w:b/>
                <w:color w:val="000000" w:themeColor="text1"/>
              </w:rPr>
              <w:t>Historial de Cumplimiento</w:t>
            </w:r>
          </w:p>
        </w:tc>
      </w:tr>
    </w:tbl>
    <w:p w:rsidR="008609E6" w:rsidRDefault="008609E6" w:rsidP="008609E6">
      <w:pPr>
        <w:jc w:val="both"/>
        <w:rPr>
          <w:rFonts w:ascii="Arial Narrow" w:hAnsi="Arial Narrow" w:cs="Arial"/>
          <w:color w:val="000000" w:themeColor="text1"/>
        </w:rPr>
      </w:pPr>
    </w:p>
    <w:p w:rsidR="009956D9" w:rsidRDefault="009956D9" w:rsidP="008609E6">
      <w:pPr>
        <w:jc w:val="both"/>
        <w:rPr>
          <w:rFonts w:ascii="Arial Narrow" w:hAnsi="Arial Narrow" w:cs="Arial"/>
          <w:color w:val="000000" w:themeColor="text1"/>
        </w:rPr>
      </w:pPr>
    </w:p>
    <w:p w:rsidR="008609E6" w:rsidRPr="00814EC1" w:rsidRDefault="008609E6" w:rsidP="008609E6">
      <w:pPr>
        <w:jc w:val="both"/>
        <w:rPr>
          <w:rFonts w:ascii="Arial Narrow" w:hAnsi="Arial Narrow" w:cs="Arial"/>
          <w:color w:val="000000" w:themeColor="text1"/>
        </w:rPr>
      </w:pPr>
      <w:r w:rsidRPr="00814EC1">
        <w:rPr>
          <w:rFonts w:ascii="Arial Narrow" w:hAnsi="Arial Narrow" w:cs="Arial"/>
          <w:color w:val="000000" w:themeColor="text1"/>
        </w:rPr>
        <w:t xml:space="preserve">                                  </w:t>
      </w:r>
    </w:p>
    <w:p w:rsidR="008609E6" w:rsidRPr="00814EC1" w:rsidRDefault="008609E6" w:rsidP="008609E6">
      <w:pPr>
        <w:pStyle w:val="Prrafodelista"/>
        <w:numPr>
          <w:ilvl w:val="0"/>
          <w:numId w:val="2"/>
        </w:numPr>
        <w:jc w:val="both"/>
        <w:rPr>
          <w:rFonts w:ascii="Arial Narrow" w:hAnsi="Arial Narrow" w:cs="Arial"/>
          <w:color w:val="000000" w:themeColor="text1"/>
        </w:rPr>
      </w:pPr>
      <w:r w:rsidRPr="00814EC1">
        <w:rPr>
          <w:rFonts w:ascii="Arial Narrow" w:hAnsi="Arial Narrow" w:cs="Arial"/>
          <w:color w:val="000000" w:themeColor="text1"/>
        </w:rPr>
        <w:t>Documentación General</w:t>
      </w:r>
    </w:p>
    <w:p w:rsidR="008609E6" w:rsidRPr="00814EC1" w:rsidRDefault="008609E6" w:rsidP="008609E6">
      <w:pPr>
        <w:jc w:val="both"/>
        <w:rPr>
          <w:rFonts w:ascii="Arial Narrow" w:hAnsi="Arial Narrow" w:cs="Arial"/>
          <w:color w:val="000000" w:themeColor="text1"/>
        </w:rPr>
      </w:pPr>
    </w:p>
    <w:p w:rsidR="008609E6" w:rsidRPr="000C691F" w:rsidRDefault="008609E6" w:rsidP="000C691F">
      <w:pPr>
        <w:pStyle w:val="Prrafodelista"/>
        <w:numPr>
          <w:ilvl w:val="0"/>
          <w:numId w:val="5"/>
        </w:numPr>
        <w:jc w:val="both"/>
        <w:rPr>
          <w:rFonts w:ascii="Arial Narrow" w:hAnsi="Arial Narrow" w:cs="Arial"/>
          <w:color w:val="000000" w:themeColor="text1"/>
        </w:rPr>
      </w:pPr>
      <w:r w:rsidRPr="000C691F">
        <w:rPr>
          <w:rFonts w:ascii="Arial Narrow" w:hAnsi="Arial Narrow" w:cs="Arial"/>
          <w:color w:val="000000" w:themeColor="text1"/>
        </w:rPr>
        <w:t>En este criterio, se evaluará la presentación y validación de los documentos exigidos en el acápite 2.14 sobre Documentación a Presentar (Sobre A).</w:t>
      </w:r>
    </w:p>
    <w:p w:rsidR="008609E6" w:rsidRPr="00814EC1" w:rsidRDefault="008609E6" w:rsidP="008609E6">
      <w:pPr>
        <w:jc w:val="both"/>
        <w:rPr>
          <w:rFonts w:ascii="Arial Narrow" w:hAnsi="Arial Narrow" w:cs="Arial"/>
          <w:color w:val="000000" w:themeColor="text1"/>
        </w:rPr>
      </w:pPr>
    </w:p>
    <w:p w:rsidR="008609E6" w:rsidRPr="00814EC1" w:rsidRDefault="008609E6" w:rsidP="008609E6">
      <w:pPr>
        <w:pStyle w:val="Prrafodelista"/>
        <w:numPr>
          <w:ilvl w:val="0"/>
          <w:numId w:val="3"/>
        </w:numPr>
        <w:jc w:val="both"/>
        <w:rPr>
          <w:rFonts w:ascii="Arial Narrow" w:hAnsi="Arial Narrow" w:cs="Arial"/>
          <w:color w:val="000000" w:themeColor="text1"/>
        </w:rPr>
      </w:pPr>
      <w:r w:rsidRPr="00814EC1">
        <w:rPr>
          <w:rFonts w:ascii="Arial Narrow" w:hAnsi="Arial Narrow" w:cs="Arial"/>
          <w:color w:val="000000" w:themeColor="text1"/>
        </w:rPr>
        <w:t xml:space="preserve">Especificaciones Técnicas </w:t>
      </w:r>
    </w:p>
    <w:p w:rsidR="008609E6" w:rsidRPr="00814EC1" w:rsidRDefault="008609E6" w:rsidP="008609E6">
      <w:pPr>
        <w:jc w:val="both"/>
        <w:rPr>
          <w:rFonts w:ascii="Arial Narrow" w:hAnsi="Arial Narrow" w:cs="Arial"/>
          <w:color w:val="000000" w:themeColor="text1"/>
        </w:rPr>
      </w:pPr>
    </w:p>
    <w:p w:rsidR="008609E6" w:rsidRPr="00814EC1" w:rsidRDefault="008609E6" w:rsidP="008609E6">
      <w:pPr>
        <w:pStyle w:val="Prrafodelista"/>
        <w:numPr>
          <w:ilvl w:val="0"/>
          <w:numId w:val="1"/>
        </w:numPr>
        <w:jc w:val="both"/>
        <w:rPr>
          <w:rFonts w:ascii="Arial Narrow" w:hAnsi="Arial Narrow" w:cs="Arial"/>
          <w:color w:val="000000" w:themeColor="text1"/>
        </w:rPr>
      </w:pPr>
      <w:r w:rsidRPr="00814EC1">
        <w:rPr>
          <w:rFonts w:ascii="Arial Narrow" w:hAnsi="Arial Narrow" w:cs="Arial"/>
          <w:color w:val="000000" w:themeColor="text1"/>
        </w:rPr>
        <w:t>En este criterio, se evaluará la presentación y validación de los documentos exigidos en el acápite 2.14 C. Documentación Técnica Numeral 3 sobre Document</w:t>
      </w:r>
      <w:r w:rsidR="000C691F">
        <w:rPr>
          <w:rFonts w:ascii="Arial Narrow" w:hAnsi="Arial Narrow" w:cs="Arial"/>
          <w:color w:val="000000" w:themeColor="text1"/>
        </w:rPr>
        <w:t>ación a Presentar (Sobre A).</w:t>
      </w:r>
    </w:p>
    <w:p w:rsidR="008609E6" w:rsidRPr="00814EC1" w:rsidRDefault="008609E6" w:rsidP="008609E6">
      <w:pPr>
        <w:pStyle w:val="Prrafodelista"/>
        <w:jc w:val="both"/>
        <w:rPr>
          <w:rFonts w:ascii="Arial Narrow" w:hAnsi="Arial Narrow" w:cs="Arial"/>
          <w:color w:val="000000" w:themeColor="text1"/>
        </w:rPr>
      </w:pPr>
    </w:p>
    <w:p w:rsidR="008609E6" w:rsidRPr="00814EC1" w:rsidRDefault="008609E6" w:rsidP="008609E6">
      <w:pPr>
        <w:pStyle w:val="Prrafodelista"/>
        <w:jc w:val="both"/>
        <w:rPr>
          <w:rFonts w:ascii="Arial Narrow" w:hAnsi="Arial Narrow" w:cs="Arial"/>
          <w:color w:val="000000" w:themeColor="text1"/>
        </w:rPr>
      </w:pPr>
      <w:r w:rsidRPr="00814EC1">
        <w:rPr>
          <w:rFonts w:ascii="Arial Narrow" w:hAnsi="Arial Narrow" w:cs="Arial"/>
          <w:color w:val="000000" w:themeColor="text1"/>
        </w:rPr>
        <w:t>Nota el No cumplimiento de cualquiera de los parámetros indicados en la ficha técnica de los productos será causal de descalificación inmediata.</w:t>
      </w:r>
    </w:p>
    <w:p w:rsidR="008609E6" w:rsidRPr="00814EC1" w:rsidRDefault="008609E6" w:rsidP="008609E6">
      <w:pPr>
        <w:jc w:val="both"/>
        <w:rPr>
          <w:rFonts w:ascii="Arial Narrow" w:hAnsi="Arial Narrow" w:cs="Arial"/>
          <w:color w:val="000000" w:themeColor="text1"/>
        </w:rPr>
      </w:pPr>
    </w:p>
    <w:p w:rsidR="008609E6" w:rsidRPr="00814EC1" w:rsidRDefault="008609E6" w:rsidP="008609E6">
      <w:pPr>
        <w:pStyle w:val="Prrafodelista"/>
        <w:numPr>
          <w:ilvl w:val="0"/>
          <w:numId w:val="3"/>
        </w:numPr>
        <w:jc w:val="both"/>
        <w:rPr>
          <w:rFonts w:ascii="Arial Narrow" w:hAnsi="Arial Narrow" w:cs="Arial"/>
          <w:color w:val="000000" w:themeColor="text1"/>
        </w:rPr>
      </w:pPr>
      <w:r w:rsidRPr="00814EC1">
        <w:rPr>
          <w:rFonts w:ascii="Arial Narrow" w:hAnsi="Arial Narrow" w:cs="Arial"/>
          <w:color w:val="000000" w:themeColor="text1"/>
        </w:rPr>
        <w:t xml:space="preserve">Disponibilidad </w:t>
      </w:r>
    </w:p>
    <w:p w:rsidR="008609E6" w:rsidRPr="00814EC1" w:rsidRDefault="008609E6" w:rsidP="008609E6">
      <w:pPr>
        <w:jc w:val="both"/>
        <w:rPr>
          <w:rFonts w:ascii="Arial Narrow" w:hAnsi="Arial Narrow" w:cs="Arial"/>
          <w:color w:val="000000" w:themeColor="text1"/>
        </w:rPr>
      </w:pPr>
    </w:p>
    <w:p w:rsidR="008609E6" w:rsidRPr="00814EC1" w:rsidRDefault="008609E6" w:rsidP="008609E6">
      <w:pPr>
        <w:pStyle w:val="Prrafodelista"/>
        <w:numPr>
          <w:ilvl w:val="0"/>
          <w:numId w:val="1"/>
        </w:numPr>
        <w:jc w:val="both"/>
        <w:rPr>
          <w:rFonts w:ascii="Arial Narrow" w:hAnsi="Arial Narrow" w:cs="Arial"/>
          <w:color w:val="000000" w:themeColor="text1"/>
        </w:rPr>
      </w:pPr>
      <w:r w:rsidRPr="00814EC1">
        <w:rPr>
          <w:rFonts w:ascii="Arial Narrow" w:hAnsi="Arial Narrow" w:cs="Arial"/>
          <w:color w:val="000000" w:themeColor="text1"/>
        </w:rPr>
        <w:t xml:space="preserve">En este criterio, se evaluará la presentación y validación de los documentos exigidos en el acápite 2.14 Documentación Técnica Numeral 6 y 7 sobre Documentación a Presentar (Sobre A), </w:t>
      </w:r>
    </w:p>
    <w:p w:rsidR="008609E6" w:rsidRPr="00814EC1" w:rsidRDefault="008609E6" w:rsidP="008609E6">
      <w:pPr>
        <w:jc w:val="both"/>
        <w:rPr>
          <w:rFonts w:ascii="Arial Narrow" w:hAnsi="Arial Narrow" w:cs="Arial"/>
          <w:color w:val="000000" w:themeColor="text1"/>
        </w:rPr>
      </w:pPr>
    </w:p>
    <w:p w:rsidR="008609E6" w:rsidRPr="00814EC1" w:rsidRDefault="008609E6" w:rsidP="008609E6">
      <w:pPr>
        <w:pStyle w:val="Prrafodelista"/>
        <w:numPr>
          <w:ilvl w:val="0"/>
          <w:numId w:val="2"/>
        </w:numPr>
        <w:rPr>
          <w:rFonts w:ascii="Arial Narrow" w:hAnsi="Arial Narrow" w:cs="Arial"/>
          <w:color w:val="000000" w:themeColor="text1"/>
          <w:rtl/>
          <w:lang w:bidi="he-IL"/>
        </w:rPr>
      </w:pPr>
      <w:r w:rsidRPr="00814EC1">
        <w:rPr>
          <w:rFonts w:ascii="Arial Narrow" w:hAnsi="Arial Narrow" w:cs="Arial"/>
          <w:color w:val="000000" w:themeColor="text1"/>
        </w:rPr>
        <w:t>Capacidad Financiera:</w:t>
      </w:r>
    </w:p>
    <w:p w:rsidR="008609E6" w:rsidRPr="00814EC1" w:rsidRDefault="008609E6" w:rsidP="008609E6">
      <w:pPr>
        <w:jc w:val="both"/>
        <w:rPr>
          <w:rFonts w:ascii="Arial Narrow" w:hAnsi="Arial Narrow" w:cs="Arial"/>
          <w:color w:val="000000" w:themeColor="text1"/>
        </w:rPr>
      </w:pPr>
    </w:p>
    <w:p w:rsidR="008609E6" w:rsidRPr="00814EC1" w:rsidRDefault="008609E6" w:rsidP="008609E6">
      <w:pPr>
        <w:jc w:val="both"/>
        <w:rPr>
          <w:rFonts w:ascii="Arial Narrow" w:hAnsi="Arial Narrow" w:cs="Arial"/>
          <w:color w:val="000000" w:themeColor="text1"/>
        </w:rPr>
      </w:pPr>
      <w:r w:rsidRPr="00814EC1">
        <w:rPr>
          <w:rFonts w:ascii="Arial Narrow" w:hAnsi="Arial Narrow" w:cs="Arial"/>
          <w:color w:val="000000" w:themeColor="text1"/>
        </w:rPr>
        <w:t>Punto A: En este criterio, se evaluará si el Oferente cuenta con la capacidad financiera suficiente para ejecutar satisfactoriamente el eventual Contrato, por lo que el Oferente deberá presentar los IR-2 y sus anexos de los últimos dos (2) Períodos Fiscales (201</w:t>
      </w:r>
      <w:r>
        <w:rPr>
          <w:rFonts w:ascii="Arial Narrow" w:hAnsi="Arial Narrow" w:cs="Arial"/>
          <w:color w:val="000000" w:themeColor="text1"/>
        </w:rPr>
        <w:t>4</w:t>
      </w:r>
      <w:r w:rsidRPr="00814EC1">
        <w:rPr>
          <w:rFonts w:ascii="Arial Narrow" w:hAnsi="Arial Narrow" w:cs="Arial"/>
          <w:color w:val="000000" w:themeColor="text1"/>
        </w:rPr>
        <w:t>, 201</w:t>
      </w:r>
      <w:r>
        <w:rPr>
          <w:rFonts w:ascii="Arial Narrow" w:hAnsi="Arial Narrow" w:cs="Arial"/>
          <w:color w:val="000000" w:themeColor="text1"/>
        </w:rPr>
        <w:t>5</w:t>
      </w:r>
      <w:r w:rsidRPr="00814EC1">
        <w:rPr>
          <w:rFonts w:ascii="Arial Narrow" w:hAnsi="Arial Narrow" w:cs="Arial"/>
          <w:color w:val="000000" w:themeColor="text1"/>
        </w:rPr>
        <w:t xml:space="preserve">). </w:t>
      </w:r>
    </w:p>
    <w:p w:rsidR="008609E6" w:rsidRPr="00814EC1" w:rsidRDefault="008609E6" w:rsidP="008609E6">
      <w:pPr>
        <w:jc w:val="both"/>
        <w:rPr>
          <w:rFonts w:ascii="Arial Narrow" w:hAnsi="Arial Narrow" w:cs="Arial"/>
          <w:color w:val="000000" w:themeColor="text1"/>
        </w:rPr>
      </w:pPr>
    </w:p>
    <w:p w:rsidR="008609E6" w:rsidRPr="00814EC1" w:rsidRDefault="008609E6" w:rsidP="008609E6">
      <w:pPr>
        <w:jc w:val="both"/>
        <w:rPr>
          <w:rFonts w:ascii="Arial Narrow" w:hAnsi="Arial Narrow" w:cs="Arial"/>
          <w:color w:val="000000" w:themeColor="text1"/>
        </w:rPr>
      </w:pPr>
      <w:r w:rsidRPr="00814EC1">
        <w:rPr>
          <w:rFonts w:ascii="Arial Narrow" w:hAnsi="Arial Narrow" w:cs="Arial"/>
          <w:color w:val="000000" w:themeColor="text1"/>
        </w:rPr>
        <w:t>Se aplicarán para sus análisis los siguientes indicadores</w:t>
      </w:r>
      <w:r>
        <w:rPr>
          <w:rFonts w:ascii="Arial Narrow" w:hAnsi="Arial Narrow" w:cs="Arial"/>
          <w:color w:val="000000" w:themeColor="text1"/>
        </w:rPr>
        <w:t xml:space="preserve"> a razón de 7.5 puntos cada una</w:t>
      </w:r>
      <w:r w:rsidRPr="00814EC1">
        <w:rPr>
          <w:rFonts w:ascii="Arial Narrow" w:hAnsi="Arial Narrow" w:cs="Arial"/>
          <w:color w:val="000000" w:themeColor="text1"/>
        </w:rPr>
        <w:t>:</w:t>
      </w:r>
    </w:p>
    <w:p w:rsidR="008609E6" w:rsidRPr="00814EC1" w:rsidRDefault="008609E6" w:rsidP="008609E6">
      <w:pPr>
        <w:jc w:val="both"/>
        <w:rPr>
          <w:rFonts w:ascii="Arial Narrow" w:hAnsi="Arial Narrow" w:cs="Arial"/>
          <w:color w:val="000000" w:themeColor="text1"/>
        </w:rPr>
      </w:pPr>
    </w:p>
    <w:p w:rsidR="008609E6" w:rsidRPr="00814EC1" w:rsidRDefault="008609E6" w:rsidP="008609E6">
      <w:pPr>
        <w:pStyle w:val="Prrafodelista"/>
        <w:numPr>
          <w:ilvl w:val="0"/>
          <w:numId w:val="4"/>
        </w:numPr>
        <w:jc w:val="both"/>
        <w:rPr>
          <w:rFonts w:ascii="Arial Narrow" w:hAnsi="Arial Narrow" w:cs="Arial"/>
          <w:color w:val="000000" w:themeColor="text1"/>
        </w:rPr>
      </w:pPr>
      <w:r w:rsidRPr="00814EC1">
        <w:rPr>
          <w:rFonts w:ascii="Arial Narrow" w:hAnsi="Arial Narrow" w:cs="Arial"/>
          <w:color w:val="000000" w:themeColor="text1"/>
        </w:rPr>
        <w:t>Índice de solvencia  =    ACTIVO TOTAL / PASIVO TOTAL</w:t>
      </w:r>
    </w:p>
    <w:p w:rsidR="008609E6" w:rsidRPr="00814EC1" w:rsidRDefault="008609E6" w:rsidP="008609E6">
      <w:pPr>
        <w:jc w:val="both"/>
        <w:rPr>
          <w:rFonts w:ascii="Arial Narrow" w:hAnsi="Arial Narrow" w:cs="Arial"/>
          <w:color w:val="000000" w:themeColor="text1"/>
        </w:rPr>
      </w:pPr>
      <w:r w:rsidRPr="00814EC1">
        <w:rPr>
          <w:rFonts w:ascii="Arial Narrow" w:hAnsi="Arial Narrow" w:cs="Arial"/>
          <w:color w:val="000000" w:themeColor="text1"/>
        </w:rPr>
        <w:t xml:space="preserve">           Límite establecido: Mayor 1.20 </w:t>
      </w:r>
    </w:p>
    <w:p w:rsidR="008609E6" w:rsidRPr="00814EC1" w:rsidRDefault="008609E6" w:rsidP="008609E6">
      <w:pPr>
        <w:jc w:val="both"/>
        <w:rPr>
          <w:rFonts w:ascii="Arial Narrow" w:hAnsi="Arial Narrow" w:cs="Arial"/>
          <w:color w:val="000000" w:themeColor="text1"/>
        </w:rPr>
      </w:pPr>
    </w:p>
    <w:p w:rsidR="008609E6" w:rsidRPr="00814EC1" w:rsidRDefault="008609E6" w:rsidP="008609E6">
      <w:pPr>
        <w:pStyle w:val="Prrafodelista"/>
        <w:numPr>
          <w:ilvl w:val="0"/>
          <w:numId w:val="4"/>
        </w:numPr>
        <w:jc w:val="both"/>
        <w:rPr>
          <w:rFonts w:ascii="Arial Narrow" w:hAnsi="Arial Narrow" w:cs="Arial"/>
          <w:color w:val="000000" w:themeColor="text1"/>
        </w:rPr>
      </w:pPr>
      <w:r w:rsidRPr="00814EC1">
        <w:rPr>
          <w:rFonts w:ascii="Arial Narrow" w:hAnsi="Arial Narrow" w:cs="Arial"/>
          <w:color w:val="000000" w:themeColor="text1"/>
        </w:rPr>
        <w:t>Índice de liquidez corriente =ACTIVO CORRIENTE / PASIVO    CORRIENTE</w:t>
      </w:r>
    </w:p>
    <w:p w:rsidR="006A56C6" w:rsidRDefault="008609E6" w:rsidP="008609E6">
      <w:pPr>
        <w:jc w:val="both"/>
        <w:rPr>
          <w:rFonts w:ascii="Arial Narrow" w:hAnsi="Arial Narrow" w:cs="Arial"/>
          <w:color w:val="000000" w:themeColor="text1"/>
        </w:rPr>
      </w:pPr>
      <w:r w:rsidRPr="00814EC1">
        <w:rPr>
          <w:rFonts w:ascii="Arial Narrow" w:hAnsi="Arial Narrow" w:cs="Arial"/>
          <w:color w:val="000000" w:themeColor="text1"/>
        </w:rPr>
        <w:t xml:space="preserve">            Límite establecido: Mayor 0.9</w:t>
      </w:r>
    </w:p>
    <w:p w:rsidR="006A56C6" w:rsidRDefault="006A56C6" w:rsidP="008609E6">
      <w:pPr>
        <w:jc w:val="both"/>
        <w:rPr>
          <w:rFonts w:ascii="Arial Narrow" w:hAnsi="Arial Narrow" w:cs="Arial"/>
          <w:color w:val="000000" w:themeColor="text1"/>
        </w:rPr>
      </w:pPr>
      <w:r>
        <w:rPr>
          <w:rFonts w:ascii="Arial Narrow" w:hAnsi="Arial Narrow" w:cs="Arial"/>
          <w:color w:val="000000" w:themeColor="text1"/>
        </w:rPr>
        <w:t xml:space="preserve">       </w:t>
      </w:r>
    </w:p>
    <w:p w:rsidR="008609E6" w:rsidRDefault="006A56C6" w:rsidP="008609E6">
      <w:pPr>
        <w:jc w:val="both"/>
        <w:rPr>
          <w:rFonts w:ascii="Arial Narrow" w:hAnsi="Arial Narrow" w:cs="Arial"/>
          <w:color w:val="000000" w:themeColor="text1"/>
        </w:rPr>
      </w:pPr>
      <w:r>
        <w:rPr>
          <w:rFonts w:ascii="Arial Narrow" w:hAnsi="Arial Narrow" w:cs="Arial"/>
          <w:color w:val="000000" w:themeColor="text1"/>
        </w:rPr>
        <w:t xml:space="preserve">       c) </w:t>
      </w:r>
      <w:r w:rsidR="008609E6">
        <w:rPr>
          <w:rFonts w:ascii="Arial Narrow" w:hAnsi="Arial Narrow" w:cs="Arial"/>
          <w:color w:val="000000" w:themeColor="text1"/>
        </w:rPr>
        <w:t>Línea de crédito Bancaria de al menos RD$</w:t>
      </w:r>
      <w:r>
        <w:rPr>
          <w:rFonts w:ascii="Arial Narrow" w:hAnsi="Arial Narrow" w:cs="Arial"/>
          <w:color w:val="000000" w:themeColor="text1"/>
        </w:rPr>
        <w:t xml:space="preserve"> 10</w:t>
      </w:r>
      <w:proofErr w:type="gramStart"/>
      <w:r>
        <w:rPr>
          <w:rFonts w:ascii="Arial Narrow" w:hAnsi="Arial Narrow" w:cs="Arial"/>
          <w:color w:val="000000" w:themeColor="text1"/>
        </w:rPr>
        <w:t>,000,000.00</w:t>
      </w:r>
      <w:proofErr w:type="gramEnd"/>
      <w:r>
        <w:rPr>
          <w:rFonts w:ascii="Arial Narrow" w:hAnsi="Arial Narrow" w:cs="Arial"/>
          <w:color w:val="000000" w:themeColor="text1"/>
        </w:rPr>
        <w:t xml:space="preserve"> para Lote 1</w:t>
      </w:r>
    </w:p>
    <w:p w:rsidR="006A56C6" w:rsidRPr="00814EC1" w:rsidRDefault="006A56C6" w:rsidP="008609E6">
      <w:pPr>
        <w:jc w:val="both"/>
        <w:rPr>
          <w:rFonts w:ascii="Arial Narrow" w:hAnsi="Arial Narrow" w:cs="Arial"/>
          <w:color w:val="000000" w:themeColor="text1"/>
        </w:rPr>
      </w:pPr>
    </w:p>
    <w:p w:rsidR="006A56C6" w:rsidRDefault="006A56C6" w:rsidP="006A56C6">
      <w:pPr>
        <w:jc w:val="both"/>
        <w:rPr>
          <w:rFonts w:ascii="Arial Narrow" w:hAnsi="Arial Narrow" w:cs="Arial"/>
          <w:color w:val="000000" w:themeColor="text1"/>
        </w:rPr>
      </w:pPr>
      <w:r>
        <w:rPr>
          <w:rFonts w:ascii="Arial Narrow" w:hAnsi="Arial Narrow" w:cs="Arial"/>
          <w:color w:val="000000" w:themeColor="text1"/>
        </w:rPr>
        <w:t xml:space="preserve">           Línea de crédito Bancaria de al menos RD$ 5</w:t>
      </w:r>
      <w:proofErr w:type="gramStart"/>
      <w:r>
        <w:rPr>
          <w:rFonts w:ascii="Arial Narrow" w:hAnsi="Arial Narrow" w:cs="Arial"/>
          <w:color w:val="000000" w:themeColor="text1"/>
        </w:rPr>
        <w:t>,000,000.00</w:t>
      </w:r>
      <w:proofErr w:type="gramEnd"/>
      <w:r>
        <w:rPr>
          <w:rFonts w:ascii="Arial Narrow" w:hAnsi="Arial Narrow" w:cs="Arial"/>
          <w:color w:val="000000" w:themeColor="text1"/>
        </w:rPr>
        <w:t xml:space="preserve"> para Lote 2 y 3</w:t>
      </w:r>
    </w:p>
    <w:p w:rsidR="006A56C6" w:rsidRDefault="006A56C6"/>
    <w:p w:rsidR="00B32D3A" w:rsidRPr="000C691F" w:rsidRDefault="006A56C6" w:rsidP="000C691F">
      <w:pPr>
        <w:pStyle w:val="Prrafodelista"/>
        <w:numPr>
          <w:ilvl w:val="0"/>
          <w:numId w:val="2"/>
        </w:numPr>
      </w:pPr>
      <w:r w:rsidRPr="000C691F">
        <w:rPr>
          <w:rFonts w:ascii="Arial Narrow" w:hAnsi="Arial Narrow" w:cs="Arial"/>
          <w:color w:val="000000" w:themeColor="text1"/>
        </w:rPr>
        <w:t xml:space="preserve">Historial de </w:t>
      </w:r>
      <w:r w:rsidR="0091404C" w:rsidRPr="000C691F">
        <w:rPr>
          <w:rFonts w:ascii="Arial Narrow" w:hAnsi="Arial Narrow" w:cs="Arial"/>
          <w:color w:val="000000" w:themeColor="text1"/>
        </w:rPr>
        <w:t>Cumplimiento</w:t>
      </w:r>
    </w:p>
    <w:p w:rsidR="000C691F" w:rsidRDefault="000C691F" w:rsidP="000C691F">
      <w:pPr>
        <w:pStyle w:val="Prrafodelista"/>
      </w:pPr>
    </w:p>
    <w:p w:rsidR="006A56C6" w:rsidRPr="000C691F" w:rsidRDefault="000C691F" w:rsidP="000C691F">
      <w:pPr>
        <w:pStyle w:val="Prrafodelista"/>
        <w:numPr>
          <w:ilvl w:val="0"/>
          <w:numId w:val="1"/>
        </w:numPr>
      </w:pPr>
      <w:r w:rsidRPr="000C691F">
        <w:rPr>
          <w:rFonts w:ascii="Arial Narrow" w:hAnsi="Arial Narrow" w:cs="Arial"/>
          <w:color w:val="000000" w:themeColor="text1"/>
        </w:rPr>
        <w:t>En este criterio, se evaluará la presentación y validación de los documentos exigidos en el acápite 2.14 C. Documentación Técnica Numeral 8</w:t>
      </w:r>
    </w:p>
    <w:p w:rsidR="000C691F" w:rsidRDefault="000C691F" w:rsidP="000C691F"/>
    <w:p w:rsidR="00BF5861" w:rsidRDefault="00BF5861" w:rsidP="000C691F">
      <w:pPr>
        <w:pStyle w:val="Ttulo3"/>
      </w:pPr>
    </w:p>
    <w:p w:rsidR="000C691F" w:rsidRDefault="000C691F" w:rsidP="000C691F">
      <w:pPr>
        <w:pStyle w:val="Ttulo3"/>
      </w:pPr>
      <w:r>
        <w:t xml:space="preserve">Se modifica acápite </w:t>
      </w:r>
      <w:bookmarkStart w:id="4" w:name="_Toc271530536"/>
      <w:bookmarkStart w:id="5" w:name="_Toc410128621"/>
      <w:r w:rsidRPr="006F4D3D">
        <w:t>3.9 Evaluación Oferta Económica</w:t>
      </w:r>
      <w:bookmarkEnd w:id="4"/>
      <w:bookmarkEnd w:id="5"/>
      <w:r>
        <w:t xml:space="preserve"> para que en lo adelante se lea como sigue:</w:t>
      </w:r>
    </w:p>
    <w:p w:rsidR="000C691F" w:rsidRDefault="000C691F" w:rsidP="000C691F">
      <w:pPr>
        <w:rPr>
          <w:lang w:val="es-ES"/>
        </w:rPr>
      </w:pPr>
    </w:p>
    <w:p w:rsidR="000C691F" w:rsidRPr="000C691F" w:rsidRDefault="000C691F" w:rsidP="000C691F">
      <w:pPr>
        <w:rPr>
          <w:lang w:val="es-ES"/>
        </w:rPr>
      </w:pPr>
      <w:r w:rsidRPr="006F4D3D">
        <w:t>3.9 Evaluación Oferta Económica</w:t>
      </w:r>
    </w:p>
    <w:p w:rsidR="000C691F" w:rsidRPr="00161AC3" w:rsidRDefault="000C691F" w:rsidP="000C691F">
      <w:pPr>
        <w:rPr>
          <w:rFonts w:ascii="Arial Narrow" w:hAnsi="Arial Narrow" w:cs="Arial"/>
        </w:rPr>
      </w:pPr>
    </w:p>
    <w:p w:rsidR="000C691F" w:rsidRPr="00814EC1" w:rsidRDefault="000C691F" w:rsidP="000C691F">
      <w:pPr>
        <w:jc w:val="both"/>
        <w:rPr>
          <w:rFonts w:ascii="Arial Narrow" w:hAnsi="Arial Narrow" w:cs="Arial"/>
        </w:rPr>
      </w:pPr>
      <w:r w:rsidRPr="00814EC1">
        <w:rPr>
          <w:rFonts w:ascii="Arial Narrow" w:hAnsi="Arial Narrow" w:cs="Arial"/>
        </w:rPr>
        <w:lastRenderedPageBreak/>
        <w:t xml:space="preserve">El Comité de Compras y Contrataciones evaluará y comparará únicamente las Ofertas Económicas de los Oferentes/Proponentes que hayan resultado habilitados en la  primera etapa del proceso, y las cuales se ajusten sustancialmente al presente Pliego de Condiciones Específicas. </w:t>
      </w:r>
    </w:p>
    <w:p w:rsidR="000C691F" w:rsidRPr="00814EC1" w:rsidRDefault="000C691F" w:rsidP="000C691F">
      <w:pPr>
        <w:jc w:val="both"/>
        <w:rPr>
          <w:rFonts w:ascii="Arial Narrow" w:hAnsi="Arial Narrow" w:cs="Arial"/>
        </w:rPr>
      </w:pPr>
    </w:p>
    <w:p w:rsidR="000C691F" w:rsidRPr="00814EC1" w:rsidRDefault="000C691F" w:rsidP="000C691F">
      <w:pPr>
        <w:jc w:val="both"/>
        <w:rPr>
          <w:rFonts w:ascii="Arial Narrow" w:hAnsi="Arial Narrow" w:cs="Arial"/>
        </w:rPr>
      </w:pPr>
      <w:r w:rsidRPr="00814EC1">
        <w:rPr>
          <w:rFonts w:ascii="Arial Narrow" w:hAnsi="Arial Narrow" w:cs="Arial"/>
        </w:rPr>
        <w:t>Por lo cual se evaluara las Ofertas de los Oferentes según el siguiente criterio:</w:t>
      </w:r>
    </w:p>
    <w:p w:rsidR="000C691F" w:rsidRPr="00814EC1" w:rsidRDefault="000C691F" w:rsidP="000C691F">
      <w:pPr>
        <w:jc w:val="both"/>
        <w:rPr>
          <w:rFonts w:ascii="Arial Narrow" w:hAnsi="Arial Narrow" w:cs="Arial"/>
        </w:rPr>
      </w:pPr>
    </w:p>
    <w:p w:rsidR="000C691F" w:rsidRPr="00814EC1" w:rsidRDefault="000C691F" w:rsidP="000C691F">
      <w:pPr>
        <w:jc w:val="both"/>
        <w:rPr>
          <w:rFonts w:ascii="Arial Narrow" w:hAnsi="Arial Narrow" w:cs="Arial"/>
        </w:rPr>
      </w:pPr>
      <w:r w:rsidRPr="00814EC1">
        <w:rPr>
          <w:rFonts w:ascii="Arial Narrow" w:hAnsi="Arial Narrow" w:cs="Arial"/>
        </w:rPr>
        <w:t xml:space="preserve">Pi =  </w:t>
      </w:r>
      <w:proofErr w:type="spellStart"/>
      <w:r w:rsidRPr="00814EC1">
        <w:rPr>
          <w:rFonts w:ascii="Arial Narrow" w:hAnsi="Arial Narrow" w:cs="Arial"/>
        </w:rPr>
        <w:t>Om</w:t>
      </w:r>
      <w:proofErr w:type="spellEnd"/>
      <w:r w:rsidRPr="00814EC1">
        <w:rPr>
          <w:rFonts w:ascii="Arial Narrow" w:hAnsi="Arial Narrow" w:cs="Arial"/>
        </w:rPr>
        <w:t xml:space="preserve"> x PMPE</w:t>
      </w:r>
    </w:p>
    <w:p w:rsidR="000C691F" w:rsidRPr="00814EC1" w:rsidRDefault="000C691F" w:rsidP="000C691F">
      <w:pPr>
        <w:jc w:val="both"/>
        <w:rPr>
          <w:rFonts w:ascii="Arial Narrow" w:hAnsi="Arial Narrow" w:cs="Arial"/>
        </w:rPr>
      </w:pPr>
      <w:r w:rsidRPr="00814EC1">
        <w:rPr>
          <w:rFonts w:ascii="Arial Narrow" w:hAnsi="Arial Narrow" w:cs="Arial"/>
        </w:rPr>
        <w:t xml:space="preserve">      </w:t>
      </w:r>
      <w:r>
        <w:rPr>
          <w:rFonts w:ascii="Arial Narrow" w:hAnsi="Arial Narrow" w:cs="Arial"/>
        </w:rPr>
        <w:t xml:space="preserve">         </w:t>
      </w:r>
      <w:proofErr w:type="spellStart"/>
      <w:r w:rsidRPr="00814EC1">
        <w:rPr>
          <w:rFonts w:ascii="Arial Narrow" w:hAnsi="Arial Narrow" w:cs="Arial"/>
        </w:rPr>
        <w:t>Oi</w:t>
      </w:r>
      <w:proofErr w:type="spellEnd"/>
    </w:p>
    <w:p w:rsidR="000C691F" w:rsidRDefault="000C691F" w:rsidP="000C691F">
      <w:pPr>
        <w:jc w:val="both"/>
        <w:rPr>
          <w:rFonts w:ascii="Arial Narrow" w:hAnsi="Arial Narrow" w:cs="Arial"/>
        </w:rPr>
      </w:pPr>
    </w:p>
    <w:p w:rsidR="000C691F" w:rsidRPr="00814EC1" w:rsidRDefault="000C691F" w:rsidP="000C691F">
      <w:pPr>
        <w:jc w:val="both"/>
        <w:rPr>
          <w:rFonts w:ascii="Arial Narrow" w:hAnsi="Arial Narrow" w:cs="Arial"/>
        </w:rPr>
      </w:pPr>
      <w:r w:rsidRPr="00814EC1">
        <w:rPr>
          <w:rFonts w:ascii="Arial Narrow" w:hAnsi="Arial Narrow" w:cs="Arial"/>
        </w:rPr>
        <w:t>Dónde:</w:t>
      </w:r>
    </w:p>
    <w:p w:rsidR="000C691F" w:rsidRPr="00814EC1" w:rsidRDefault="000C691F" w:rsidP="000C691F">
      <w:pPr>
        <w:jc w:val="both"/>
        <w:rPr>
          <w:rFonts w:ascii="Arial Narrow" w:hAnsi="Arial Narrow" w:cs="Arial"/>
        </w:rPr>
      </w:pPr>
    </w:p>
    <w:p w:rsidR="000C691F" w:rsidRPr="00814EC1" w:rsidRDefault="000C691F" w:rsidP="000C691F">
      <w:pPr>
        <w:jc w:val="both"/>
        <w:rPr>
          <w:rFonts w:ascii="Arial Narrow" w:hAnsi="Arial Narrow" w:cs="Arial"/>
        </w:rPr>
      </w:pPr>
      <w:r w:rsidRPr="00814EC1">
        <w:rPr>
          <w:rFonts w:ascii="Arial Narrow" w:hAnsi="Arial Narrow" w:cs="Arial"/>
        </w:rPr>
        <w:t>Pi=            Puntaje de la oferta económica</w:t>
      </w:r>
    </w:p>
    <w:p w:rsidR="000C691F" w:rsidRPr="00814EC1" w:rsidRDefault="000C691F" w:rsidP="000C691F">
      <w:pPr>
        <w:jc w:val="both"/>
        <w:rPr>
          <w:rFonts w:ascii="Arial Narrow" w:hAnsi="Arial Narrow" w:cs="Arial"/>
        </w:rPr>
      </w:pPr>
      <w:proofErr w:type="spellStart"/>
      <w:r w:rsidRPr="00814EC1">
        <w:rPr>
          <w:rFonts w:ascii="Arial Narrow" w:hAnsi="Arial Narrow" w:cs="Arial"/>
        </w:rPr>
        <w:t>Om</w:t>
      </w:r>
      <w:proofErr w:type="spellEnd"/>
      <w:r w:rsidRPr="00814EC1">
        <w:rPr>
          <w:rFonts w:ascii="Arial Narrow" w:hAnsi="Arial Narrow" w:cs="Arial"/>
        </w:rPr>
        <w:t>=         Propuesta económica más baja</w:t>
      </w:r>
    </w:p>
    <w:p w:rsidR="000C691F" w:rsidRPr="00814EC1" w:rsidRDefault="000C691F" w:rsidP="000C691F">
      <w:pPr>
        <w:jc w:val="both"/>
        <w:rPr>
          <w:rFonts w:ascii="Arial Narrow" w:hAnsi="Arial Narrow" w:cs="Arial"/>
        </w:rPr>
      </w:pPr>
      <w:r w:rsidRPr="00814EC1">
        <w:rPr>
          <w:rFonts w:ascii="Arial Narrow" w:hAnsi="Arial Narrow" w:cs="Arial"/>
        </w:rPr>
        <w:t>PMPE =    Puntaje m</w:t>
      </w:r>
      <w:r>
        <w:rPr>
          <w:rFonts w:ascii="Arial Narrow" w:hAnsi="Arial Narrow" w:cs="Arial"/>
        </w:rPr>
        <w:t>áximo de la propuesta económica</w:t>
      </w:r>
    </w:p>
    <w:p w:rsidR="000C691F" w:rsidRPr="00814EC1" w:rsidRDefault="000C691F" w:rsidP="000C691F">
      <w:pPr>
        <w:jc w:val="both"/>
        <w:rPr>
          <w:rFonts w:ascii="Arial Narrow" w:hAnsi="Arial Narrow" w:cs="Arial"/>
        </w:rPr>
      </w:pPr>
      <w:proofErr w:type="spellStart"/>
      <w:r w:rsidRPr="00814EC1">
        <w:rPr>
          <w:rFonts w:ascii="Arial Narrow" w:hAnsi="Arial Narrow" w:cs="Arial"/>
        </w:rPr>
        <w:t>Oi</w:t>
      </w:r>
      <w:proofErr w:type="spellEnd"/>
      <w:r w:rsidRPr="00814EC1">
        <w:rPr>
          <w:rFonts w:ascii="Arial Narrow" w:hAnsi="Arial Narrow" w:cs="Arial"/>
        </w:rPr>
        <w:t>=            Propuesta económica evaluada</w:t>
      </w:r>
    </w:p>
    <w:p w:rsidR="000C691F" w:rsidRPr="00814EC1" w:rsidRDefault="000C691F" w:rsidP="000C691F">
      <w:pPr>
        <w:jc w:val="both"/>
        <w:rPr>
          <w:rFonts w:ascii="Arial Narrow" w:hAnsi="Arial Narrow" w:cs="Arial"/>
        </w:rPr>
      </w:pPr>
    </w:p>
    <w:p w:rsidR="000C691F" w:rsidRPr="00814EC1" w:rsidRDefault="000C691F" w:rsidP="000C691F">
      <w:pPr>
        <w:jc w:val="both"/>
        <w:rPr>
          <w:rFonts w:ascii="Arial Narrow" w:hAnsi="Arial Narrow" w:cs="Arial"/>
        </w:rPr>
      </w:pPr>
    </w:p>
    <w:p w:rsidR="00BF5861" w:rsidRDefault="008507BF" w:rsidP="00BF5861">
      <w:pPr>
        <w:pStyle w:val="Ttulo3"/>
      </w:pPr>
      <w:bookmarkStart w:id="6" w:name="_Toc410128645"/>
      <w:r>
        <w:t xml:space="preserve">Se modifica Acápite </w:t>
      </w:r>
      <w:r w:rsidR="00BF5861" w:rsidRPr="006F4D3D">
        <w:t>5.2.2 Inicio del Suministro</w:t>
      </w:r>
      <w:bookmarkEnd w:id="6"/>
    </w:p>
    <w:p w:rsidR="008507BF" w:rsidRDefault="008507BF" w:rsidP="008507BF">
      <w:pPr>
        <w:rPr>
          <w:lang w:val="es-ES"/>
        </w:rPr>
      </w:pPr>
    </w:p>
    <w:p w:rsidR="008507BF" w:rsidRPr="008507BF" w:rsidRDefault="008507BF" w:rsidP="008507BF">
      <w:pPr>
        <w:rPr>
          <w:lang w:val="es-ES"/>
        </w:rPr>
      </w:pPr>
      <w:r w:rsidRPr="006F4D3D">
        <w:t>5.2.2 Inicio del Suministro</w:t>
      </w:r>
    </w:p>
    <w:p w:rsidR="00BF5861" w:rsidRPr="00161AC3" w:rsidRDefault="00BF5861" w:rsidP="00BF5861">
      <w:pPr>
        <w:rPr>
          <w:rFonts w:ascii="Arial Narrow" w:hAnsi="Arial Narrow" w:cs="Arial"/>
          <w:lang w:val="es-ES_tradnl"/>
        </w:rPr>
      </w:pPr>
    </w:p>
    <w:p w:rsidR="00BF5861" w:rsidRPr="00504836" w:rsidRDefault="00BF5861" w:rsidP="00BF5861">
      <w:pPr>
        <w:jc w:val="both"/>
        <w:rPr>
          <w:rFonts w:ascii="Arial Narrow" w:hAnsi="Arial Narrow" w:cs="Arial"/>
        </w:rPr>
      </w:pPr>
      <w:r w:rsidRPr="00504836">
        <w:rPr>
          <w:rFonts w:ascii="Arial Narrow" w:hAnsi="Arial Narrow" w:cs="Arial"/>
        </w:rPr>
        <w:t>Una vez formalizado el correspondiente Contrato de Suministro entre la Entidad Contratante</w:t>
      </w:r>
      <w:r w:rsidRPr="00504836">
        <w:rPr>
          <w:rFonts w:ascii="Arial Narrow" w:hAnsi="Arial Narrow" w:cs="Arial"/>
          <w:b/>
        </w:rPr>
        <w:t xml:space="preserve"> </w:t>
      </w:r>
      <w:r w:rsidRPr="00504836">
        <w:rPr>
          <w:rFonts w:ascii="Arial Narrow" w:hAnsi="Arial Narrow"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BF5861" w:rsidRPr="00504836" w:rsidRDefault="00BF5861" w:rsidP="00BF5861">
      <w:pPr>
        <w:jc w:val="both"/>
        <w:rPr>
          <w:rFonts w:ascii="Arial Narrow" w:hAnsi="Arial Narrow" w:cs="Arial"/>
        </w:rPr>
      </w:pPr>
    </w:p>
    <w:p w:rsidR="00BF5861" w:rsidRPr="00504836" w:rsidRDefault="00BF5861" w:rsidP="00BF5861">
      <w:pPr>
        <w:jc w:val="both"/>
        <w:rPr>
          <w:rFonts w:ascii="Arial Narrow" w:hAnsi="Arial Narrow" w:cs="Arial"/>
        </w:rPr>
      </w:pPr>
    </w:p>
    <w:p w:rsidR="00BF5861" w:rsidRDefault="00BF5861" w:rsidP="00BF5861">
      <w:pPr>
        <w:jc w:val="both"/>
        <w:rPr>
          <w:rFonts w:ascii="Arial Narrow" w:hAnsi="Arial Narrow" w:cs="Arial"/>
          <w:b/>
        </w:rPr>
      </w:pPr>
      <w:r w:rsidRPr="00504836">
        <w:rPr>
          <w:rFonts w:ascii="Arial Narrow" w:hAnsi="Arial Narrow" w:cs="Arial"/>
          <w:b/>
        </w:rPr>
        <w:t xml:space="preserve">Lote 1 Sulfato de Aluminio Solido Grado A </w:t>
      </w:r>
    </w:p>
    <w:p w:rsidR="00BF5861" w:rsidRPr="009779E2" w:rsidRDefault="00BF5861" w:rsidP="00BF5861">
      <w:pPr>
        <w:jc w:val="both"/>
        <w:rPr>
          <w:rFonts w:ascii="Arial Narrow" w:hAnsi="Arial Narrow" w:cs="Arial"/>
          <w:highlight w:val="yellow"/>
        </w:rPr>
      </w:pPr>
    </w:p>
    <w:tbl>
      <w:tblPr>
        <w:tblW w:w="4660" w:type="dxa"/>
        <w:tblInd w:w="55" w:type="dxa"/>
        <w:tblCellMar>
          <w:left w:w="70" w:type="dxa"/>
          <w:right w:w="70" w:type="dxa"/>
        </w:tblCellMar>
        <w:tblLook w:val="04A0" w:firstRow="1" w:lastRow="0" w:firstColumn="1" w:lastColumn="0" w:noHBand="0" w:noVBand="1"/>
      </w:tblPr>
      <w:tblGrid>
        <w:gridCol w:w="2080"/>
        <w:gridCol w:w="2580"/>
      </w:tblGrid>
      <w:tr w:rsidR="00BF5861" w:rsidTr="009610F6">
        <w:trPr>
          <w:trHeight w:val="375"/>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5861" w:rsidRDefault="00BF5861" w:rsidP="009610F6">
            <w:pPr>
              <w:rPr>
                <w:rFonts w:ascii="Palatino Linotype" w:hAnsi="Palatino Linotype"/>
                <w:color w:val="000000"/>
                <w:sz w:val="22"/>
                <w:szCs w:val="22"/>
              </w:rPr>
            </w:pPr>
            <w:r>
              <w:rPr>
                <w:rFonts w:ascii="Palatino Linotype" w:hAnsi="Palatino Linotype"/>
                <w:color w:val="000000"/>
                <w:sz w:val="22"/>
                <w:szCs w:val="22"/>
              </w:rPr>
              <w:t xml:space="preserve">     925,000.00 </w:t>
            </w:r>
            <w:proofErr w:type="spellStart"/>
            <w:r>
              <w:rPr>
                <w:rFonts w:ascii="Palatino Linotype" w:hAnsi="Palatino Linotype"/>
                <w:color w:val="000000"/>
                <w:sz w:val="22"/>
                <w:szCs w:val="22"/>
              </w:rPr>
              <w:t>Kgs</w:t>
            </w:r>
            <w:proofErr w:type="spellEnd"/>
          </w:p>
        </w:tc>
        <w:tc>
          <w:tcPr>
            <w:tcW w:w="2580" w:type="dxa"/>
            <w:tcBorders>
              <w:top w:val="single" w:sz="8" w:space="0" w:color="auto"/>
              <w:left w:val="nil"/>
              <w:bottom w:val="single" w:sz="8" w:space="0" w:color="auto"/>
              <w:right w:val="single" w:sz="8" w:space="0" w:color="auto"/>
            </w:tcBorders>
            <w:shd w:val="clear" w:color="auto" w:fill="auto"/>
            <w:vAlign w:val="center"/>
            <w:hideMark/>
          </w:tcPr>
          <w:p w:rsidR="00BF5861" w:rsidRDefault="00AE193E" w:rsidP="009610F6">
            <w:pPr>
              <w:jc w:val="center"/>
              <w:rPr>
                <w:rFonts w:ascii="Palatino Linotype" w:hAnsi="Palatino Linotype"/>
                <w:color w:val="000000"/>
              </w:rPr>
            </w:pPr>
            <w:r w:rsidRPr="00AE193E">
              <w:rPr>
                <w:rFonts w:ascii="Palatino Linotype" w:hAnsi="Palatino Linotype"/>
                <w:color w:val="000000"/>
                <w:highlight w:val="yellow"/>
              </w:rPr>
              <w:t>Ago-15</w:t>
            </w:r>
          </w:p>
        </w:tc>
      </w:tr>
    </w:tbl>
    <w:p w:rsidR="00BF5861" w:rsidRDefault="00BF5861" w:rsidP="00BF5861"/>
    <w:p w:rsidR="008507BF" w:rsidRDefault="008507BF" w:rsidP="00BF5861">
      <w:r>
        <w:t>El resto del producto solicitado será entregado por el proveedor a requerimiento de la institución previo acuerdo entre ambas partes para definir las cantidades de acuerdo al consumo.</w:t>
      </w:r>
    </w:p>
    <w:p w:rsidR="00BF5861" w:rsidRPr="00BF5861" w:rsidRDefault="00BF5861" w:rsidP="00BF5861"/>
    <w:p w:rsidR="00BF5861" w:rsidRDefault="00BF5861" w:rsidP="00BF5861">
      <w:pPr>
        <w:pStyle w:val="Ttulo3"/>
      </w:pPr>
      <w:r>
        <w:t xml:space="preserve"> Lote 2. Sulfato de Aluminio </w:t>
      </w:r>
      <w:r w:rsidR="008507BF">
        <w:t>Líquido</w:t>
      </w:r>
      <w:r>
        <w:t xml:space="preserve"> </w:t>
      </w:r>
    </w:p>
    <w:p w:rsidR="00BF5861" w:rsidRDefault="00BF5861" w:rsidP="00BF5861">
      <w:pPr>
        <w:rPr>
          <w:lang w:val="es-ES"/>
        </w:rPr>
      </w:pPr>
    </w:p>
    <w:tbl>
      <w:tblPr>
        <w:tblW w:w="4600" w:type="dxa"/>
        <w:tblInd w:w="55" w:type="dxa"/>
        <w:tblCellMar>
          <w:left w:w="70" w:type="dxa"/>
          <w:right w:w="70" w:type="dxa"/>
        </w:tblCellMar>
        <w:tblLook w:val="04A0" w:firstRow="1" w:lastRow="0" w:firstColumn="1" w:lastColumn="0" w:noHBand="0" w:noVBand="1"/>
      </w:tblPr>
      <w:tblGrid>
        <w:gridCol w:w="2280"/>
        <w:gridCol w:w="2320"/>
      </w:tblGrid>
      <w:tr w:rsidR="00BF5861" w:rsidTr="009610F6">
        <w:trPr>
          <w:trHeight w:val="360"/>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861" w:rsidRDefault="00BF5861" w:rsidP="009610F6">
            <w:pPr>
              <w:rPr>
                <w:rFonts w:ascii="Palatino Linotype" w:hAnsi="Palatino Linotype"/>
                <w:color w:val="000000"/>
                <w:sz w:val="22"/>
                <w:szCs w:val="22"/>
              </w:rPr>
            </w:pPr>
            <w:r>
              <w:rPr>
                <w:rFonts w:ascii="Palatino Linotype" w:hAnsi="Palatino Linotype"/>
                <w:color w:val="000000"/>
                <w:sz w:val="22"/>
                <w:szCs w:val="22"/>
              </w:rPr>
              <w:t xml:space="preserve">140,000.00 </w:t>
            </w:r>
            <w:proofErr w:type="spellStart"/>
            <w:r>
              <w:rPr>
                <w:rFonts w:ascii="Palatino Linotype" w:hAnsi="Palatino Linotype"/>
                <w:color w:val="000000"/>
                <w:sz w:val="22"/>
                <w:szCs w:val="22"/>
              </w:rPr>
              <w:t>Kgs</w:t>
            </w:r>
            <w:proofErr w:type="spellEnd"/>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BF5861" w:rsidRDefault="008507BF" w:rsidP="009610F6">
            <w:pPr>
              <w:jc w:val="center"/>
              <w:rPr>
                <w:rFonts w:ascii="Palatino Linotype" w:hAnsi="Palatino Linotype"/>
                <w:color w:val="000000"/>
              </w:rPr>
            </w:pPr>
            <w:r>
              <w:rPr>
                <w:rFonts w:ascii="Palatino Linotype" w:hAnsi="Palatino Linotype"/>
                <w:color w:val="000000"/>
              </w:rPr>
              <w:t xml:space="preserve">Una vez finalizada la instalación de los Tanques y Bombas Dosificadoras </w:t>
            </w:r>
          </w:p>
        </w:tc>
      </w:tr>
    </w:tbl>
    <w:p w:rsidR="00BF5861" w:rsidRDefault="00BF5861" w:rsidP="00BF5861">
      <w:pPr>
        <w:rPr>
          <w:lang w:val="es-ES"/>
        </w:rPr>
      </w:pPr>
    </w:p>
    <w:p w:rsidR="008507BF" w:rsidRDefault="008507BF" w:rsidP="008507BF">
      <w:r>
        <w:t>El resto del producto solicitado será entregado por el proveedor a requerimiento de la institución previo acuerdo entre ambas partes para definir las cantidades de acuerdo al consumo.</w:t>
      </w:r>
    </w:p>
    <w:p w:rsidR="008507BF" w:rsidRPr="008507BF" w:rsidRDefault="008507BF" w:rsidP="00BF5861"/>
    <w:p w:rsidR="00BF5861" w:rsidRPr="00504836" w:rsidRDefault="00BF5861" w:rsidP="00BF5861">
      <w:pPr>
        <w:rPr>
          <w:b/>
          <w:lang w:val="es-ES"/>
        </w:rPr>
      </w:pPr>
      <w:r w:rsidRPr="00504836">
        <w:rPr>
          <w:b/>
          <w:lang w:val="es-ES"/>
        </w:rPr>
        <w:t xml:space="preserve">Lote 3. </w:t>
      </w:r>
      <w:proofErr w:type="spellStart"/>
      <w:r w:rsidRPr="00504836">
        <w:rPr>
          <w:b/>
          <w:lang w:val="es-ES"/>
        </w:rPr>
        <w:t>Hidroxicloruro</w:t>
      </w:r>
      <w:proofErr w:type="spellEnd"/>
      <w:r w:rsidRPr="00504836">
        <w:rPr>
          <w:b/>
          <w:lang w:val="es-ES"/>
        </w:rPr>
        <w:t xml:space="preserve"> de Aluminio Líquido</w:t>
      </w:r>
    </w:p>
    <w:p w:rsidR="00BF5861" w:rsidRDefault="00BF5861" w:rsidP="00BF5861">
      <w:pPr>
        <w:rPr>
          <w:lang w:val="es-ES"/>
        </w:rPr>
      </w:pPr>
    </w:p>
    <w:tbl>
      <w:tblPr>
        <w:tblW w:w="4600" w:type="dxa"/>
        <w:tblInd w:w="55" w:type="dxa"/>
        <w:tblCellMar>
          <w:left w:w="70" w:type="dxa"/>
          <w:right w:w="70" w:type="dxa"/>
        </w:tblCellMar>
        <w:tblLook w:val="04A0" w:firstRow="1" w:lastRow="0" w:firstColumn="1" w:lastColumn="0" w:noHBand="0" w:noVBand="1"/>
      </w:tblPr>
      <w:tblGrid>
        <w:gridCol w:w="2280"/>
        <w:gridCol w:w="2320"/>
      </w:tblGrid>
      <w:tr w:rsidR="008507BF" w:rsidTr="009610F6">
        <w:trPr>
          <w:trHeight w:val="360"/>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7BF" w:rsidRDefault="008507BF" w:rsidP="009610F6">
            <w:pPr>
              <w:rPr>
                <w:rFonts w:ascii="Palatino Linotype" w:hAnsi="Palatino Linotype"/>
                <w:color w:val="000000"/>
                <w:sz w:val="22"/>
                <w:szCs w:val="22"/>
              </w:rPr>
            </w:pPr>
            <w:r>
              <w:rPr>
                <w:rFonts w:ascii="Palatino Linotype" w:hAnsi="Palatino Linotype"/>
                <w:color w:val="000000"/>
                <w:sz w:val="22"/>
                <w:szCs w:val="22"/>
              </w:rPr>
              <w:t xml:space="preserve">140,000.00 </w:t>
            </w:r>
            <w:proofErr w:type="spellStart"/>
            <w:r>
              <w:rPr>
                <w:rFonts w:ascii="Palatino Linotype" w:hAnsi="Palatino Linotype"/>
                <w:color w:val="000000"/>
                <w:sz w:val="22"/>
                <w:szCs w:val="22"/>
              </w:rPr>
              <w:t>Kgs</w:t>
            </w:r>
            <w:proofErr w:type="spellEnd"/>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8507BF" w:rsidRDefault="008507BF" w:rsidP="009610F6">
            <w:pPr>
              <w:jc w:val="center"/>
              <w:rPr>
                <w:rFonts w:ascii="Palatino Linotype" w:hAnsi="Palatino Linotype"/>
                <w:color w:val="000000"/>
              </w:rPr>
            </w:pPr>
            <w:r>
              <w:rPr>
                <w:rFonts w:ascii="Palatino Linotype" w:hAnsi="Palatino Linotype"/>
                <w:color w:val="000000"/>
              </w:rPr>
              <w:t xml:space="preserve">Una vez finalizada la instalación de los Tanques y Bombas Dosificadoras </w:t>
            </w:r>
          </w:p>
        </w:tc>
      </w:tr>
    </w:tbl>
    <w:p w:rsidR="000C691F" w:rsidRDefault="000C691F" w:rsidP="000C691F"/>
    <w:p w:rsidR="008507BF" w:rsidRDefault="008507BF" w:rsidP="008507BF">
      <w:r>
        <w:t>El resto del producto solicitado será entregado por el proveedor a requerimiento de la institución previo acuerdo entre ambas partes para definir las cantidades de acuerdo al consumo.</w:t>
      </w:r>
    </w:p>
    <w:p w:rsidR="008507BF" w:rsidRDefault="008507BF" w:rsidP="000C691F"/>
    <w:sectPr w:rsidR="008507B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861" w:rsidRDefault="00BF5861" w:rsidP="00BF5861">
      <w:r>
        <w:separator/>
      </w:r>
    </w:p>
  </w:endnote>
  <w:endnote w:type="continuationSeparator" w:id="0">
    <w:p w:rsidR="00BF5861" w:rsidRDefault="00BF5861" w:rsidP="00BF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861" w:rsidRDefault="00BF5861" w:rsidP="00BF5861">
      <w:r>
        <w:separator/>
      </w:r>
    </w:p>
  </w:footnote>
  <w:footnote w:type="continuationSeparator" w:id="0">
    <w:p w:rsidR="00BF5861" w:rsidRDefault="00BF5861" w:rsidP="00BF5861">
      <w:r>
        <w:continuationSeparator/>
      </w:r>
    </w:p>
  </w:footnote>
  <w:footnote w:id="1">
    <w:p w:rsidR="00BF5861" w:rsidRPr="003841C8" w:rsidRDefault="00BF5861" w:rsidP="00BF5861">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6EEF"/>
    <w:multiLevelType w:val="hybridMultilevel"/>
    <w:tmpl w:val="1AE64FC8"/>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16CA6793"/>
    <w:multiLevelType w:val="hybridMultilevel"/>
    <w:tmpl w:val="10CCB630"/>
    <w:lvl w:ilvl="0" w:tplc="A478425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17012504"/>
    <w:multiLevelType w:val="hybridMultilevel"/>
    <w:tmpl w:val="6B3C42C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20C6122B"/>
    <w:multiLevelType w:val="hybridMultilevel"/>
    <w:tmpl w:val="377CED6A"/>
    <w:lvl w:ilvl="0" w:tplc="B152212E">
      <w:start w:val="3"/>
      <w:numFmt w:val="bullet"/>
      <w:lvlText w:val="-"/>
      <w:lvlJc w:val="left"/>
      <w:pPr>
        <w:ind w:left="720" w:hanging="360"/>
      </w:pPr>
      <w:rPr>
        <w:rFonts w:ascii="Arial Narrow" w:eastAsia="Times New Roman" w:hAnsi="Arial Narrow"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5F952DF7"/>
    <w:multiLevelType w:val="hybridMultilevel"/>
    <w:tmpl w:val="503EC6A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56E7FEE"/>
    <w:multiLevelType w:val="hybridMultilevel"/>
    <w:tmpl w:val="AE8CA11E"/>
    <w:lvl w:ilvl="0" w:tplc="EF98394E">
      <w:start w:val="1"/>
      <w:numFmt w:val="bullet"/>
      <w:lvlText w:val="-"/>
      <w:lvlJc w:val="left"/>
      <w:pPr>
        <w:ind w:left="720" w:hanging="360"/>
      </w:pPr>
      <w:rPr>
        <w:rFonts w:ascii="Arial Narrow" w:eastAsia="Times New Roman" w:hAnsi="Arial Narrow"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6767382D"/>
    <w:multiLevelType w:val="hybridMultilevel"/>
    <w:tmpl w:val="4ABA1C0A"/>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A7"/>
    <w:rsid w:val="000C691F"/>
    <w:rsid w:val="00400D31"/>
    <w:rsid w:val="00446617"/>
    <w:rsid w:val="006366A7"/>
    <w:rsid w:val="006A56C6"/>
    <w:rsid w:val="006E16FC"/>
    <w:rsid w:val="008507BF"/>
    <w:rsid w:val="008609E6"/>
    <w:rsid w:val="0091404C"/>
    <w:rsid w:val="00961CF2"/>
    <w:rsid w:val="00985A43"/>
    <w:rsid w:val="009956D9"/>
    <w:rsid w:val="00A43772"/>
    <w:rsid w:val="00AE193E"/>
    <w:rsid w:val="00BF5861"/>
    <w:rsid w:val="00EC506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9E6"/>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BF58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autoRedefine/>
    <w:qFormat/>
    <w:rsid w:val="008609E6"/>
    <w:pPr>
      <w:keepNext/>
      <w:tabs>
        <w:tab w:val="left" w:pos="7920"/>
        <w:tab w:val="left" w:pos="9895"/>
      </w:tabs>
      <w:autoSpaceDE w:val="0"/>
      <w:autoSpaceDN w:val="0"/>
      <w:adjustRightInd w:val="0"/>
      <w:jc w:val="both"/>
      <w:outlineLvl w:val="2"/>
    </w:pPr>
    <w:rPr>
      <w:rFonts w:ascii="Arial Narrow" w:hAnsi="Arial Narrow"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66A7"/>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6A7"/>
    <w:rPr>
      <w:rFonts w:ascii="Tahoma" w:hAnsi="Tahoma" w:cs="Tahoma"/>
      <w:sz w:val="16"/>
      <w:szCs w:val="16"/>
    </w:rPr>
  </w:style>
  <w:style w:type="character" w:customStyle="1" w:styleId="Ttulo3Car">
    <w:name w:val="Título 3 Car"/>
    <w:basedOn w:val="Fuentedeprrafopredeter"/>
    <w:link w:val="Ttulo3"/>
    <w:rsid w:val="008609E6"/>
    <w:rPr>
      <w:rFonts w:ascii="Arial Narrow" w:eastAsia="Times New Roman" w:hAnsi="Arial Narrow" w:cs="Arial"/>
      <w:b/>
      <w:bCs/>
      <w:sz w:val="24"/>
      <w:szCs w:val="24"/>
      <w:lang w:val="es-ES" w:eastAsia="es-ES"/>
    </w:rPr>
  </w:style>
  <w:style w:type="table" w:styleId="Tablaconcuadrcula">
    <w:name w:val="Table Grid"/>
    <w:basedOn w:val="Tablanormal"/>
    <w:rsid w:val="008609E6"/>
    <w:pPr>
      <w:spacing w:after="0" w:line="240" w:lineRule="auto"/>
    </w:pPr>
    <w:rPr>
      <w:rFonts w:ascii="Times New Roman" w:eastAsia="Times New Roman" w:hAnsi="Times New Roman" w:cs="Times New Roman"/>
      <w:sz w:val="20"/>
      <w:szCs w:val="20"/>
      <w:lang w:eastAsia="es-D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609E6"/>
    <w:pPr>
      <w:ind w:left="720"/>
    </w:pPr>
  </w:style>
  <w:style w:type="paragraph" w:styleId="Textoindependiente">
    <w:name w:val="Body Text"/>
    <w:basedOn w:val="Normal"/>
    <w:link w:val="TextoindependienteCar"/>
    <w:rsid w:val="00BF5861"/>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BF5861"/>
    <w:rPr>
      <w:rFonts w:ascii="Times New Roman" w:eastAsia="Times New Roman" w:hAnsi="Times New Roman" w:cs="Times New Roman"/>
      <w:color w:val="000000"/>
      <w:sz w:val="24"/>
      <w:szCs w:val="24"/>
      <w:lang w:eastAsia="es-ES"/>
    </w:rPr>
  </w:style>
  <w:style w:type="paragraph" w:styleId="Textonotapie">
    <w:name w:val="footnote text"/>
    <w:basedOn w:val="Normal"/>
    <w:link w:val="TextonotapieCar"/>
    <w:rsid w:val="00BF5861"/>
    <w:rPr>
      <w:sz w:val="20"/>
      <w:szCs w:val="20"/>
    </w:rPr>
  </w:style>
  <w:style w:type="character" w:customStyle="1" w:styleId="TextonotapieCar">
    <w:name w:val="Texto nota pie Car"/>
    <w:basedOn w:val="Fuentedeprrafopredeter"/>
    <w:link w:val="Textonotapie"/>
    <w:rsid w:val="00BF5861"/>
    <w:rPr>
      <w:rFonts w:ascii="Times New Roman" w:eastAsia="Times New Roman" w:hAnsi="Times New Roman" w:cs="Times New Roman"/>
      <w:sz w:val="20"/>
      <w:szCs w:val="20"/>
      <w:lang w:eastAsia="es-ES"/>
    </w:rPr>
  </w:style>
  <w:style w:type="character" w:styleId="Refdenotaalpie">
    <w:name w:val="footnote reference"/>
    <w:basedOn w:val="Fuentedeprrafopredeter"/>
    <w:rsid w:val="00BF5861"/>
    <w:rPr>
      <w:vertAlign w:val="superscript"/>
    </w:rPr>
  </w:style>
  <w:style w:type="character" w:customStyle="1" w:styleId="Ttulo2Car">
    <w:name w:val="Título 2 Car"/>
    <w:basedOn w:val="Fuentedeprrafopredeter"/>
    <w:link w:val="Ttulo2"/>
    <w:uiPriority w:val="9"/>
    <w:semiHidden/>
    <w:rsid w:val="00BF5861"/>
    <w:rPr>
      <w:rFonts w:asciiTheme="majorHAnsi" w:eastAsiaTheme="majorEastAsia" w:hAnsiTheme="majorHAnsi" w:cstheme="majorBidi"/>
      <w:b/>
      <w:bCs/>
      <w:color w:val="4F81BD" w:themeColor="accent1"/>
      <w:sz w:val="26"/>
      <w:szCs w:val="2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9E6"/>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BF58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autoRedefine/>
    <w:qFormat/>
    <w:rsid w:val="008609E6"/>
    <w:pPr>
      <w:keepNext/>
      <w:tabs>
        <w:tab w:val="left" w:pos="7920"/>
        <w:tab w:val="left" w:pos="9895"/>
      </w:tabs>
      <w:autoSpaceDE w:val="0"/>
      <w:autoSpaceDN w:val="0"/>
      <w:adjustRightInd w:val="0"/>
      <w:jc w:val="both"/>
      <w:outlineLvl w:val="2"/>
    </w:pPr>
    <w:rPr>
      <w:rFonts w:ascii="Arial Narrow" w:hAnsi="Arial Narrow"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66A7"/>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6A7"/>
    <w:rPr>
      <w:rFonts w:ascii="Tahoma" w:hAnsi="Tahoma" w:cs="Tahoma"/>
      <w:sz w:val="16"/>
      <w:szCs w:val="16"/>
    </w:rPr>
  </w:style>
  <w:style w:type="character" w:customStyle="1" w:styleId="Ttulo3Car">
    <w:name w:val="Título 3 Car"/>
    <w:basedOn w:val="Fuentedeprrafopredeter"/>
    <w:link w:val="Ttulo3"/>
    <w:rsid w:val="008609E6"/>
    <w:rPr>
      <w:rFonts w:ascii="Arial Narrow" w:eastAsia="Times New Roman" w:hAnsi="Arial Narrow" w:cs="Arial"/>
      <w:b/>
      <w:bCs/>
      <w:sz w:val="24"/>
      <w:szCs w:val="24"/>
      <w:lang w:val="es-ES" w:eastAsia="es-ES"/>
    </w:rPr>
  </w:style>
  <w:style w:type="table" w:styleId="Tablaconcuadrcula">
    <w:name w:val="Table Grid"/>
    <w:basedOn w:val="Tablanormal"/>
    <w:rsid w:val="008609E6"/>
    <w:pPr>
      <w:spacing w:after="0" w:line="240" w:lineRule="auto"/>
    </w:pPr>
    <w:rPr>
      <w:rFonts w:ascii="Times New Roman" w:eastAsia="Times New Roman" w:hAnsi="Times New Roman" w:cs="Times New Roman"/>
      <w:sz w:val="20"/>
      <w:szCs w:val="20"/>
      <w:lang w:eastAsia="es-D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609E6"/>
    <w:pPr>
      <w:ind w:left="720"/>
    </w:pPr>
  </w:style>
  <w:style w:type="paragraph" w:styleId="Textoindependiente">
    <w:name w:val="Body Text"/>
    <w:basedOn w:val="Normal"/>
    <w:link w:val="TextoindependienteCar"/>
    <w:rsid w:val="00BF5861"/>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BF5861"/>
    <w:rPr>
      <w:rFonts w:ascii="Times New Roman" w:eastAsia="Times New Roman" w:hAnsi="Times New Roman" w:cs="Times New Roman"/>
      <w:color w:val="000000"/>
      <w:sz w:val="24"/>
      <w:szCs w:val="24"/>
      <w:lang w:eastAsia="es-ES"/>
    </w:rPr>
  </w:style>
  <w:style w:type="paragraph" w:styleId="Textonotapie">
    <w:name w:val="footnote text"/>
    <w:basedOn w:val="Normal"/>
    <w:link w:val="TextonotapieCar"/>
    <w:rsid w:val="00BF5861"/>
    <w:rPr>
      <w:sz w:val="20"/>
      <w:szCs w:val="20"/>
    </w:rPr>
  </w:style>
  <w:style w:type="character" w:customStyle="1" w:styleId="TextonotapieCar">
    <w:name w:val="Texto nota pie Car"/>
    <w:basedOn w:val="Fuentedeprrafopredeter"/>
    <w:link w:val="Textonotapie"/>
    <w:rsid w:val="00BF5861"/>
    <w:rPr>
      <w:rFonts w:ascii="Times New Roman" w:eastAsia="Times New Roman" w:hAnsi="Times New Roman" w:cs="Times New Roman"/>
      <w:sz w:val="20"/>
      <w:szCs w:val="20"/>
      <w:lang w:eastAsia="es-ES"/>
    </w:rPr>
  </w:style>
  <w:style w:type="character" w:styleId="Refdenotaalpie">
    <w:name w:val="footnote reference"/>
    <w:basedOn w:val="Fuentedeprrafopredeter"/>
    <w:rsid w:val="00BF5861"/>
    <w:rPr>
      <w:vertAlign w:val="superscript"/>
    </w:rPr>
  </w:style>
  <w:style w:type="character" w:customStyle="1" w:styleId="Ttulo2Car">
    <w:name w:val="Título 2 Car"/>
    <w:basedOn w:val="Fuentedeprrafopredeter"/>
    <w:link w:val="Ttulo2"/>
    <w:uiPriority w:val="9"/>
    <w:semiHidden/>
    <w:rsid w:val="00BF5861"/>
    <w:rPr>
      <w:rFonts w:asciiTheme="majorHAnsi" w:eastAsiaTheme="majorEastAsia" w:hAnsiTheme="majorHAnsi" w:cstheme="majorBidi"/>
      <w:b/>
      <w:bCs/>
      <w:color w:val="4F81BD" w:themeColor="accen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1369</TotalTime>
  <Pages>6</Pages>
  <Words>1513</Words>
  <Characters>8324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Abelardo Reyes</dc:creator>
  <cp:lastModifiedBy>Abelardo Reyes</cp:lastModifiedBy>
  <cp:revision>4</cp:revision>
  <cp:lastPrinted>2016-07-12T15:15:00Z</cp:lastPrinted>
  <dcterms:created xsi:type="dcterms:W3CDTF">2016-07-11T15:54:00Z</dcterms:created>
  <dcterms:modified xsi:type="dcterms:W3CDTF">2016-07-12T16:18:00Z</dcterms:modified>
</cp:coreProperties>
</file>