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48" w:rsidRDefault="00820D48" w:rsidP="00820D48">
      <w:pPr>
        <w:jc w:val="center"/>
      </w:pPr>
      <w:bookmarkStart w:id="0" w:name="_Toc185953112"/>
      <w:bookmarkStart w:id="1" w:name="_Toc410128595"/>
      <w:r>
        <w:rPr>
          <w:rFonts w:ascii="Palatino Linotype" w:hAnsi="Palatino Linotype" w:cs="Arial"/>
          <w:noProof/>
          <w:lang w:eastAsia="es-DO"/>
        </w:rPr>
        <w:drawing>
          <wp:inline distT="0" distB="0" distL="0" distR="0" wp14:anchorId="76F278FB" wp14:editId="4F181FBB">
            <wp:extent cx="678815" cy="805815"/>
            <wp:effectExtent l="0" t="0" r="6985" b="0"/>
            <wp:docPr id="1" name="Imagen 1" descr="Descripción: logo_caas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logo_caasd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815" cy="805815"/>
                    </a:xfrm>
                    <a:prstGeom prst="rect">
                      <a:avLst/>
                    </a:prstGeom>
                    <a:noFill/>
                    <a:ln>
                      <a:noFill/>
                    </a:ln>
                  </pic:spPr>
                </pic:pic>
              </a:graphicData>
            </a:graphic>
          </wp:inline>
        </w:drawing>
      </w:r>
    </w:p>
    <w:p w:rsidR="00820D48" w:rsidRPr="003B6265" w:rsidRDefault="00820D48" w:rsidP="00820D48">
      <w:pPr>
        <w:jc w:val="center"/>
        <w:rPr>
          <w:b/>
        </w:rPr>
      </w:pPr>
      <w:r w:rsidRPr="003B6265">
        <w:rPr>
          <w:b/>
          <w:sz w:val="32"/>
        </w:rPr>
        <w:t>Corporación del Acueducto y Alcantarillado de Santo Domingo</w:t>
      </w:r>
    </w:p>
    <w:p w:rsidR="00820D48" w:rsidRDefault="00820D48" w:rsidP="00820D48">
      <w:pPr>
        <w:jc w:val="center"/>
      </w:pPr>
    </w:p>
    <w:p w:rsidR="00820D48" w:rsidRDefault="00820D48" w:rsidP="00820D48">
      <w:pPr>
        <w:jc w:val="center"/>
        <w:rPr>
          <w:rFonts w:ascii="Arial Narrow" w:hAnsi="Arial Narrow"/>
        </w:rPr>
      </w:pPr>
      <w:r w:rsidRPr="001C385C">
        <w:rPr>
          <w:rFonts w:ascii="Arial Narrow" w:hAnsi="Arial Narrow"/>
        </w:rPr>
        <w:t>Enmienda No</w:t>
      </w:r>
      <w:r>
        <w:rPr>
          <w:rFonts w:ascii="Arial Narrow" w:hAnsi="Arial Narrow"/>
        </w:rPr>
        <w:t>.</w:t>
      </w:r>
      <w:r w:rsidRPr="001C385C">
        <w:rPr>
          <w:rFonts w:ascii="Arial Narrow" w:hAnsi="Arial Narrow"/>
        </w:rPr>
        <w:t xml:space="preserve"> 1</w:t>
      </w:r>
    </w:p>
    <w:p w:rsidR="003B6265" w:rsidRPr="001C385C" w:rsidRDefault="003B6265" w:rsidP="00820D48">
      <w:pPr>
        <w:jc w:val="center"/>
        <w:rPr>
          <w:rFonts w:ascii="Arial Narrow" w:hAnsi="Arial Narrow"/>
        </w:rPr>
      </w:pPr>
      <w:r>
        <w:rPr>
          <w:rFonts w:ascii="Arial Narrow" w:hAnsi="Arial Narrow"/>
        </w:rPr>
        <w:t xml:space="preserve">07 de julio </w:t>
      </w:r>
      <w:r>
        <w:rPr>
          <w:rFonts w:ascii="Arial Narrow" w:hAnsi="Arial Narrow"/>
        </w:rPr>
        <w:t xml:space="preserve">de </w:t>
      </w:r>
      <w:r>
        <w:rPr>
          <w:rFonts w:ascii="Arial Narrow" w:hAnsi="Arial Narrow"/>
        </w:rPr>
        <w:t>2016</w:t>
      </w:r>
    </w:p>
    <w:p w:rsidR="00820D48" w:rsidRPr="00C078D7" w:rsidRDefault="00820D48" w:rsidP="00820D48">
      <w:pPr>
        <w:jc w:val="center"/>
        <w:rPr>
          <w:rFonts w:ascii="Arial Narrow" w:hAnsi="Arial Narrow"/>
        </w:rPr>
      </w:pPr>
    </w:p>
    <w:p w:rsidR="00820D48" w:rsidRDefault="00820D48" w:rsidP="00820D48">
      <w:pPr>
        <w:jc w:val="center"/>
        <w:rPr>
          <w:rFonts w:ascii="Arial Narrow" w:hAnsi="Arial Narrow"/>
        </w:rPr>
      </w:pPr>
      <w:r w:rsidRPr="00C078D7">
        <w:rPr>
          <w:rFonts w:ascii="Arial Narrow" w:hAnsi="Arial Narrow"/>
        </w:rPr>
        <w:t xml:space="preserve">Procedimiento de </w:t>
      </w:r>
      <w:r>
        <w:rPr>
          <w:rFonts w:ascii="Arial Narrow" w:hAnsi="Arial Narrow"/>
        </w:rPr>
        <w:t>Urgencia</w:t>
      </w:r>
    </w:p>
    <w:p w:rsidR="00BF755B" w:rsidRPr="00C078D7" w:rsidRDefault="00BF755B" w:rsidP="00820D48">
      <w:pPr>
        <w:jc w:val="center"/>
        <w:rPr>
          <w:rFonts w:ascii="Arial Narrow" w:hAnsi="Arial Narrow"/>
        </w:rPr>
      </w:pPr>
    </w:p>
    <w:p w:rsidR="00820D48" w:rsidRPr="00C078D7" w:rsidRDefault="00820D48" w:rsidP="00820D48">
      <w:pPr>
        <w:jc w:val="center"/>
        <w:rPr>
          <w:rFonts w:ascii="Arial Narrow" w:hAnsi="Arial Narrow"/>
        </w:rPr>
      </w:pPr>
    </w:p>
    <w:p w:rsidR="00820D48" w:rsidRDefault="00820D48" w:rsidP="00820D48">
      <w:pPr>
        <w:jc w:val="center"/>
        <w:rPr>
          <w:b/>
          <w:bCs/>
          <w:color w:val="000000" w:themeColor="text1"/>
        </w:rPr>
      </w:pPr>
      <w:r>
        <w:rPr>
          <w:b/>
          <w:bCs/>
          <w:color w:val="000000" w:themeColor="text1"/>
        </w:rPr>
        <w:t xml:space="preserve">Para </w:t>
      </w:r>
      <w:r w:rsidRPr="00CE14B6">
        <w:rPr>
          <w:b/>
          <w:bCs/>
          <w:color w:val="000000" w:themeColor="text1"/>
        </w:rPr>
        <w:t>la</w:t>
      </w:r>
      <w:r>
        <w:rPr>
          <w:b/>
          <w:bCs/>
          <w:color w:val="000000" w:themeColor="text1"/>
        </w:rPr>
        <w:t xml:space="preserve"> Adquisición de Químicos Coagulantes para Tratamiento de Aguas</w:t>
      </w:r>
    </w:p>
    <w:p w:rsidR="00820D48" w:rsidRDefault="00820D48" w:rsidP="00820D48">
      <w:pPr>
        <w:jc w:val="center"/>
        <w:rPr>
          <w:rFonts w:ascii="Arial Narrow" w:hAnsi="Arial Narrow"/>
        </w:rPr>
      </w:pPr>
    </w:p>
    <w:p w:rsidR="00820D48" w:rsidRPr="00C078D7" w:rsidRDefault="00BF755B" w:rsidP="00820D48">
      <w:pPr>
        <w:jc w:val="center"/>
        <w:rPr>
          <w:rFonts w:ascii="Arial Narrow" w:hAnsi="Arial Narrow"/>
        </w:rPr>
      </w:pPr>
      <w:r>
        <w:rPr>
          <w:rFonts w:ascii="Arial Narrow" w:hAnsi="Arial Narrow"/>
        </w:rPr>
        <w:t>Referencia CAASD</w:t>
      </w:r>
      <w:r w:rsidR="003B6265">
        <w:rPr>
          <w:rFonts w:ascii="Arial Narrow" w:hAnsi="Arial Narrow"/>
        </w:rPr>
        <w:t>-</w:t>
      </w:r>
      <w:r>
        <w:rPr>
          <w:rFonts w:ascii="Arial Narrow" w:hAnsi="Arial Narrow"/>
        </w:rPr>
        <w:t>UR</w:t>
      </w:r>
      <w:r w:rsidR="00820D48">
        <w:rPr>
          <w:rFonts w:ascii="Arial Narrow" w:hAnsi="Arial Narrow"/>
        </w:rPr>
        <w:t>-01</w:t>
      </w:r>
      <w:r w:rsidR="00820D48" w:rsidRPr="00C078D7">
        <w:rPr>
          <w:rFonts w:ascii="Arial Narrow" w:hAnsi="Arial Narrow"/>
        </w:rPr>
        <w:t>-2016</w:t>
      </w:r>
      <w:bookmarkStart w:id="2" w:name="_GoBack"/>
      <w:bookmarkEnd w:id="2"/>
    </w:p>
    <w:p w:rsidR="00820D48" w:rsidRDefault="00820D48" w:rsidP="00820D48">
      <w:pPr>
        <w:jc w:val="center"/>
        <w:rPr>
          <w:sz w:val="22"/>
          <w:szCs w:val="22"/>
        </w:rPr>
      </w:pPr>
    </w:p>
    <w:p w:rsidR="00820D48" w:rsidRDefault="00820D48" w:rsidP="00820D48">
      <w:pPr>
        <w:jc w:val="both"/>
        <w:rPr>
          <w:rFonts w:ascii="Arial Narrow" w:hAnsi="Arial Narrow"/>
        </w:rPr>
      </w:pPr>
      <w:r w:rsidRPr="001C385C">
        <w:rPr>
          <w:rFonts w:ascii="Arial Narrow" w:hAnsi="Arial Narrow"/>
        </w:rPr>
        <w:t>De acuerdo y apegado a la ley 340-06 sobre Compras y Contrataciones Públicas y lo descrito en su artículo 18 Párrafo III, y en este pliego de condiciones específicas en su ac</w:t>
      </w:r>
      <w:r w:rsidRPr="001C385C">
        <w:rPr>
          <w:rFonts w:ascii="Arial Narrow" w:hAnsi="Arial Narrow"/>
          <w:color w:val="000000"/>
        </w:rPr>
        <w:t>á</w:t>
      </w:r>
      <w:r w:rsidRPr="001C385C">
        <w:rPr>
          <w:rFonts w:ascii="Arial Narrow" w:hAnsi="Arial Narrow"/>
        </w:rPr>
        <w:t xml:space="preserve">pite 1.29,  la Corporación del Acueducto y Alcantarillado de Santo Domingo procede a realizar la adenda o enmienda No. 1 al Pliego </w:t>
      </w:r>
      <w:r>
        <w:rPr>
          <w:rFonts w:ascii="Arial Narrow" w:hAnsi="Arial Narrow"/>
        </w:rPr>
        <w:t xml:space="preserve">de Condiciones Específicas </w:t>
      </w:r>
      <w:r w:rsidRPr="001C385C">
        <w:rPr>
          <w:rFonts w:ascii="Arial Narrow" w:hAnsi="Arial Narrow"/>
        </w:rPr>
        <w:t xml:space="preserve">del </w:t>
      </w:r>
      <w:r w:rsidRPr="00C078D7">
        <w:rPr>
          <w:rFonts w:ascii="Arial Narrow" w:hAnsi="Arial Narrow"/>
        </w:rPr>
        <w:t xml:space="preserve">Procedimiento de </w:t>
      </w:r>
      <w:r w:rsidR="00BF755B">
        <w:rPr>
          <w:rFonts w:ascii="Arial Narrow" w:hAnsi="Arial Narrow"/>
        </w:rPr>
        <w:t>Urgencia</w:t>
      </w:r>
      <w:r>
        <w:rPr>
          <w:rFonts w:ascii="Arial Narrow" w:hAnsi="Arial Narrow"/>
        </w:rPr>
        <w:t xml:space="preserve">, </w:t>
      </w:r>
      <w:r w:rsidRPr="001C385C">
        <w:rPr>
          <w:rFonts w:ascii="Arial Narrow" w:hAnsi="Arial Narrow"/>
        </w:rPr>
        <w:t>Referencia CAASD-</w:t>
      </w:r>
      <w:r>
        <w:rPr>
          <w:rFonts w:ascii="Arial Narrow" w:hAnsi="Arial Narrow"/>
        </w:rPr>
        <w:t>UR-01-2016</w:t>
      </w:r>
      <w:r w:rsidRPr="001C385C">
        <w:rPr>
          <w:rFonts w:ascii="Arial Narrow" w:hAnsi="Arial Narrow"/>
        </w:rPr>
        <w:t>.</w:t>
      </w:r>
    </w:p>
    <w:p w:rsidR="00820D48" w:rsidRPr="00820D48" w:rsidRDefault="00820D48" w:rsidP="00820D48">
      <w:pPr>
        <w:pStyle w:val="Ttulo3"/>
        <w:numPr>
          <w:ilvl w:val="0"/>
          <w:numId w:val="0"/>
        </w:numPr>
        <w:ind w:left="720"/>
      </w:pPr>
    </w:p>
    <w:p w:rsidR="00820D48" w:rsidRDefault="00820D48" w:rsidP="00820D48">
      <w:pPr>
        <w:pStyle w:val="Ttulo3"/>
      </w:pPr>
      <w:r>
        <w:t>Se modifica el acápite 2.1 Objeto de la Licitación para que en lo adelante se lea:</w:t>
      </w:r>
    </w:p>
    <w:p w:rsidR="00820D48" w:rsidRPr="00820D48" w:rsidRDefault="00820D48" w:rsidP="00820D48"/>
    <w:p w:rsidR="00AE131B" w:rsidRPr="006F4D3D" w:rsidRDefault="00AE131B" w:rsidP="00820D48">
      <w:pPr>
        <w:pStyle w:val="Ttulo3"/>
        <w:numPr>
          <w:ilvl w:val="0"/>
          <w:numId w:val="0"/>
        </w:numPr>
        <w:ind w:left="720"/>
      </w:pPr>
      <w:r w:rsidRPr="006F4D3D">
        <w:t>2.1 Objeto de la Licitación</w:t>
      </w:r>
      <w:bookmarkEnd w:id="0"/>
      <w:bookmarkEnd w:id="1"/>
    </w:p>
    <w:p w:rsidR="00AE131B" w:rsidRPr="00161AC3" w:rsidRDefault="00AE131B" w:rsidP="00AE131B">
      <w:pPr>
        <w:pStyle w:val="Textoindependiente"/>
        <w:rPr>
          <w:rFonts w:ascii="Arial Narrow" w:hAnsi="Arial Narrow" w:cs="Arial"/>
          <w:color w:val="auto"/>
        </w:rPr>
      </w:pPr>
    </w:p>
    <w:p w:rsidR="00AE131B" w:rsidRDefault="00AE131B" w:rsidP="00AE131B">
      <w:pPr>
        <w:jc w:val="both"/>
        <w:rPr>
          <w:rFonts w:ascii="Arial Narrow" w:hAnsi="Arial Narrow" w:cs="Arial"/>
        </w:rPr>
      </w:pPr>
      <w:r w:rsidRPr="006F4D3D">
        <w:rPr>
          <w:rFonts w:ascii="Arial Narrow" w:hAnsi="Arial Narrow" w:cs="Arial"/>
        </w:rPr>
        <w:t xml:space="preserve">Constituye el objeto de la presente convocatoria la </w:t>
      </w:r>
      <w:r>
        <w:rPr>
          <w:rFonts w:ascii="Arial Narrow" w:hAnsi="Arial Narrow" w:cs="Arial"/>
        </w:rPr>
        <w:t xml:space="preserve">Adquisición de: </w:t>
      </w:r>
    </w:p>
    <w:p w:rsidR="00AE131B" w:rsidRDefault="00AE131B" w:rsidP="00AE131B">
      <w:pPr>
        <w:jc w:val="both"/>
        <w:rPr>
          <w:rFonts w:ascii="Arial Narrow" w:hAnsi="Arial Narrow" w:cs="Arial"/>
        </w:rPr>
      </w:pPr>
    </w:p>
    <w:p w:rsidR="00AE131B" w:rsidRPr="005D617F" w:rsidRDefault="00AE131B" w:rsidP="00AE131B">
      <w:pPr>
        <w:pStyle w:val="Prrafodelista"/>
        <w:numPr>
          <w:ilvl w:val="0"/>
          <w:numId w:val="1"/>
        </w:numPr>
        <w:jc w:val="both"/>
        <w:rPr>
          <w:rFonts w:ascii="Arial Narrow" w:hAnsi="Arial Narrow" w:cs="Arial"/>
          <w:highlight w:val="yellow"/>
        </w:rPr>
      </w:pPr>
      <w:r>
        <w:rPr>
          <w:rFonts w:ascii="Arial Narrow" w:hAnsi="Arial Narrow" w:cs="Arial"/>
          <w:highlight w:val="yellow"/>
        </w:rPr>
        <w:t>4</w:t>
      </w:r>
      <w:proofErr w:type="gramStart"/>
      <w:r>
        <w:rPr>
          <w:rFonts w:ascii="Arial Narrow" w:hAnsi="Arial Narrow" w:cs="Arial"/>
          <w:highlight w:val="yellow"/>
        </w:rPr>
        <w:t>,500,000</w:t>
      </w:r>
      <w:proofErr w:type="gramEnd"/>
      <w:r>
        <w:rPr>
          <w:rFonts w:ascii="Arial Narrow" w:hAnsi="Arial Narrow" w:cs="Arial"/>
          <w:highlight w:val="yellow"/>
        </w:rPr>
        <w:t xml:space="preserve"> Kilogramos</w:t>
      </w:r>
      <w:r w:rsidRPr="005D617F">
        <w:rPr>
          <w:rFonts w:ascii="Arial Narrow" w:hAnsi="Arial Narrow" w:cs="Arial"/>
          <w:highlight w:val="yellow"/>
        </w:rPr>
        <w:t xml:space="preserve"> de Sulfato de Aluminio Grado A.</w:t>
      </w:r>
    </w:p>
    <w:p w:rsidR="00AE131B" w:rsidRPr="005D617F" w:rsidRDefault="00AE131B" w:rsidP="00AE131B">
      <w:pPr>
        <w:pStyle w:val="Prrafodelista"/>
        <w:numPr>
          <w:ilvl w:val="0"/>
          <w:numId w:val="1"/>
        </w:numPr>
        <w:jc w:val="both"/>
        <w:rPr>
          <w:rFonts w:ascii="Arial Narrow" w:hAnsi="Arial Narrow" w:cs="Arial"/>
          <w:highlight w:val="yellow"/>
        </w:rPr>
      </w:pPr>
      <w:r>
        <w:rPr>
          <w:rFonts w:ascii="Arial Narrow" w:hAnsi="Arial Narrow" w:cs="Arial"/>
          <w:highlight w:val="yellow"/>
        </w:rPr>
        <w:t>1,680,000</w:t>
      </w:r>
      <w:r w:rsidRPr="005D617F">
        <w:rPr>
          <w:rFonts w:ascii="Arial Narrow" w:hAnsi="Arial Narrow" w:cs="Arial"/>
          <w:highlight w:val="yellow"/>
        </w:rPr>
        <w:t xml:space="preserve"> </w:t>
      </w:r>
      <w:r>
        <w:rPr>
          <w:rFonts w:ascii="Arial Narrow" w:hAnsi="Arial Narrow" w:cs="Arial"/>
          <w:highlight w:val="yellow"/>
        </w:rPr>
        <w:t>Kilogramos</w:t>
      </w:r>
      <w:r w:rsidRPr="005D617F">
        <w:rPr>
          <w:rFonts w:ascii="Arial Narrow" w:hAnsi="Arial Narrow" w:cs="Arial"/>
          <w:highlight w:val="yellow"/>
        </w:rPr>
        <w:t xml:space="preserve"> de </w:t>
      </w:r>
      <w:r>
        <w:rPr>
          <w:rFonts w:ascii="Arial Narrow" w:hAnsi="Arial Narrow" w:cs="Arial"/>
          <w:highlight w:val="yellow"/>
        </w:rPr>
        <w:t xml:space="preserve">Sulfato de </w:t>
      </w:r>
      <w:r w:rsidRPr="005D617F">
        <w:rPr>
          <w:rFonts w:ascii="Arial Narrow" w:hAnsi="Arial Narrow" w:cs="Arial"/>
          <w:highlight w:val="yellow"/>
        </w:rPr>
        <w:t>Aluminio Liquido</w:t>
      </w:r>
    </w:p>
    <w:p w:rsidR="00AE131B" w:rsidRPr="005D617F" w:rsidRDefault="00AE131B" w:rsidP="00AE131B">
      <w:pPr>
        <w:pStyle w:val="Prrafodelista"/>
        <w:numPr>
          <w:ilvl w:val="0"/>
          <w:numId w:val="1"/>
        </w:numPr>
        <w:jc w:val="both"/>
        <w:rPr>
          <w:rFonts w:ascii="Arial Narrow" w:hAnsi="Arial Narrow" w:cs="Arial"/>
          <w:highlight w:val="yellow"/>
        </w:rPr>
      </w:pPr>
      <w:r>
        <w:rPr>
          <w:rFonts w:ascii="Arial Narrow" w:hAnsi="Arial Narrow" w:cs="Arial"/>
          <w:highlight w:val="yellow"/>
        </w:rPr>
        <w:t>1,680,000</w:t>
      </w:r>
      <w:r w:rsidRPr="005D617F">
        <w:rPr>
          <w:rFonts w:ascii="Arial Narrow" w:hAnsi="Arial Narrow" w:cs="Arial"/>
          <w:highlight w:val="yellow"/>
        </w:rPr>
        <w:t xml:space="preserve"> Libras de </w:t>
      </w:r>
      <w:proofErr w:type="spellStart"/>
      <w:r w:rsidRPr="005D617F">
        <w:rPr>
          <w:rFonts w:ascii="Arial Narrow" w:hAnsi="Arial Narrow" w:cs="Arial"/>
          <w:highlight w:val="yellow"/>
        </w:rPr>
        <w:t>Hidróxi</w:t>
      </w:r>
      <w:r w:rsidR="004653C1">
        <w:rPr>
          <w:rFonts w:ascii="Arial Narrow" w:hAnsi="Arial Narrow" w:cs="Arial"/>
          <w:highlight w:val="yellow"/>
        </w:rPr>
        <w:t>cloruro</w:t>
      </w:r>
      <w:proofErr w:type="spellEnd"/>
      <w:r w:rsidRPr="005D617F">
        <w:rPr>
          <w:rFonts w:ascii="Arial Narrow" w:hAnsi="Arial Narrow" w:cs="Arial"/>
          <w:highlight w:val="yellow"/>
        </w:rPr>
        <w:t xml:space="preserve"> de Aluminio Liquido </w:t>
      </w:r>
    </w:p>
    <w:p w:rsidR="00AE131B" w:rsidRDefault="00AE131B" w:rsidP="00AE131B">
      <w:pPr>
        <w:jc w:val="both"/>
        <w:rPr>
          <w:rFonts w:ascii="Arial Narrow" w:hAnsi="Arial Narrow" w:cs="Arial"/>
          <w:color w:val="990000"/>
        </w:rPr>
      </w:pPr>
    </w:p>
    <w:p w:rsidR="00820D48" w:rsidRDefault="00820D48" w:rsidP="00820D48">
      <w:pPr>
        <w:pStyle w:val="Ttulo3"/>
      </w:pPr>
      <w:r>
        <w:t>Se modifica el acápite 2.8 Descripción de los Bienes para que en lo adelante se lea:</w:t>
      </w:r>
    </w:p>
    <w:p w:rsidR="00820D48" w:rsidRPr="006F4D3D" w:rsidRDefault="00820D48" w:rsidP="00AE131B">
      <w:pPr>
        <w:jc w:val="both"/>
        <w:rPr>
          <w:rFonts w:ascii="Arial Narrow" w:hAnsi="Arial Narrow" w:cs="Arial"/>
          <w:color w:val="990000"/>
        </w:rPr>
      </w:pPr>
    </w:p>
    <w:p w:rsidR="00AE131B" w:rsidRDefault="00AE131B" w:rsidP="00820D48">
      <w:pPr>
        <w:pStyle w:val="Ttulo3"/>
        <w:numPr>
          <w:ilvl w:val="1"/>
          <w:numId w:val="2"/>
        </w:numPr>
      </w:pPr>
      <w:bookmarkStart w:id="3" w:name="_Toc185953144"/>
      <w:bookmarkStart w:id="4" w:name="_Toc410128602"/>
      <w:r w:rsidRPr="006F4D3D">
        <w:t>Descripción de los Bienes</w:t>
      </w:r>
      <w:bookmarkEnd w:id="3"/>
      <w:bookmarkEnd w:id="4"/>
    </w:p>
    <w:p w:rsidR="00AE131B" w:rsidRDefault="00AE131B" w:rsidP="00AE131B">
      <w:pPr>
        <w:jc w:val="both"/>
        <w:rPr>
          <w:rFonts w:ascii="Arial Narrow" w:hAnsi="Arial Narrow" w:cs="Arial"/>
        </w:rPr>
      </w:pPr>
    </w:p>
    <w:p w:rsidR="00AE131B" w:rsidRPr="00814EC1" w:rsidRDefault="00AE131B" w:rsidP="00AE131B">
      <w:pPr>
        <w:jc w:val="both"/>
        <w:rPr>
          <w:rFonts w:ascii="Arial Narrow" w:hAnsi="Arial Narrow" w:cs="Arial"/>
          <w:b/>
          <w:sz w:val="28"/>
        </w:rPr>
      </w:pPr>
      <w:r w:rsidRPr="00814EC1">
        <w:rPr>
          <w:rFonts w:ascii="Arial Narrow" w:hAnsi="Arial Narrow" w:cs="Arial"/>
          <w:b/>
          <w:sz w:val="28"/>
        </w:rPr>
        <w:t xml:space="preserve">Lote </w:t>
      </w:r>
      <w:r>
        <w:rPr>
          <w:rFonts w:ascii="Arial Narrow" w:hAnsi="Arial Narrow" w:cs="Arial"/>
          <w:b/>
          <w:sz w:val="28"/>
        </w:rPr>
        <w:t>1. Cuatro Millones Quinientos</w:t>
      </w:r>
      <w:r w:rsidRPr="00814EC1">
        <w:rPr>
          <w:rFonts w:ascii="Arial Narrow" w:hAnsi="Arial Narrow" w:cs="Arial"/>
          <w:b/>
          <w:sz w:val="28"/>
        </w:rPr>
        <w:t xml:space="preserve"> Mil (</w:t>
      </w:r>
      <w:r>
        <w:rPr>
          <w:rFonts w:ascii="Arial Narrow" w:hAnsi="Arial Narrow" w:cs="Arial"/>
          <w:b/>
          <w:sz w:val="28"/>
        </w:rPr>
        <w:t>4</w:t>
      </w:r>
      <w:proofErr w:type="gramStart"/>
      <w:r>
        <w:rPr>
          <w:rFonts w:ascii="Arial Narrow" w:hAnsi="Arial Narrow" w:cs="Arial"/>
          <w:b/>
          <w:sz w:val="28"/>
        </w:rPr>
        <w:t>,500,000.00</w:t>
      </w:r>
      <w:proofErr w:type="gramEnd"/>
      <w:r w:rsidRPr="00814EC1">
        <w:rPr>
          <w:rFonts w:ascii="Arial Narrow" w:hAnsi="Arial Narrow" w:cs="Arial"/>
          <w:b/>
          <w:sz w:val="28"/>
        </w:rPr>
        <w:t xml:space="preserve">) </w:t>
      </w:r>
      <w:r>
        <w:rPr>
          <w:rFonts w:ascii="Arial Narrow" w:hAnsi="Arial Narrow" w:cs="Arial"/>
          <w:b/>
          <w:sz w:val="28"/>
        </w:rPr>
        <w:t>Kilos</w:t>
      </w:r>
      <w:r w:rsidRPr="00814EC1">
        <w:rPr>
          <w:rFonts w:ascii="Arial Narrow" w:hAnsi="Arial Narrow" w:cs="Arial"/>
          <w:b/>
          <w:sz w:val="28"/>
        </w:rPr>
        <w:t xml:space="preserve"> de </w:t>
      </w:r>
      <w:r w:rsidRPr="00472DB5">
        <w:rPr>
          <w:rFonts w:ascii="Arial Narrow" w:hAnsi="Arial Narrow" w:cs="Arial"/>
          <w:b/>
          <w:sz w:val="28"/>
          <w:highlight w:val="yellow"/>
        </w:rPr>
        <w:t>Sulfato de Aluminio Solido Grado A</w:t>
      </w:r>
      <w:r w:rsidRPr="00814EC1">
        <w:rPr>
          <w:rFonts w:ascii="Arial Narrow" w:hAnsi="Arial Narrow" w:cs="Arial"/>
          <w:b/>
          <w:sz w:val="28"/>
        </w:rPr>
        <w:t>.</w:t>
      </w:r>
    </w:p>
    <w:p w:rsidR="00AE131B" w:rsidRDefault="00AE131B" w:rsidP="00AE131B">
      <w:pPr>
        <w:rPr>
          <w:lang w:val="es-ES"/>
        </w:rPr>
      </w:pPr>
    </w:p>
    <w:tbl>
      <w:tblPr>
        <w:tblW w:w="0" w:type="auto"/>
        <w:tblInd w:w="55" w:type="dxa"/>
        <w:tblCellMar>
          <w:left w:w="70" w:type="dxa"/>
          <w:right w:w="70" w:type="dxa"/>
        </w:tblCellMar>
        <w:tblLook w:val="04A0" w:firstRow="1" w:lastRow="0" w:firstColumn="1" w:lastColumn="0" w:noHBand="0" w:noVBand="1"/>
      </w:tblPr>
      <w:tblGrid>
        <w:gridCol w:w="904"/>
        <w:gridCol w:w="1774"/>
        <w:gridCol w:w="839"/>
        <w:gridCol w:w="3282"/>
      </w:tblGrid>
      <w:tr w:rsidR="00AE131B" w:rsidTr="00562C98">
        <w:trPr>
          <w:trHeight w:val="615"/>
        </w:trPr>
        <w:tc>
          <w:tcPr>
            <w:tcW w:w="0" w:type="auto"/>
            <w:vMerge w:val="restart"/>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LOTE I</w:t>
            </w:r>
          </w:p>
        </w:tc>
        <w:tc>
          <w:tcPr>
            <w:tcW w:w="0" w:type="auto"/>
            <w:gridSpan w:val="3"/>
            <w:tcBorders>
              <w:top w:val="single" w:sz="4" w:space="0" w:color="auto"/>
              <w:left w:val="nil"/>
              <w:bottom w:val="single" w:sz="4" w:space="0" w:color="auto"/>
              <w:right w:val="single" w:sz="4" w:space="0" w:color="auto"/>
            </w:tcBorders>
            <w:shd w:val="clear" w:color="000000" w:fill="B6DDE8"/>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9, 900,000.00 Libras de Sulfato de Aluminio Solido grado “A</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b/>
                <w:bCs/>
                <w:color w:val="000000"/>
                <w:sz w:val="22"/>
                <w:szCs w:val="22"/>
              </w:rPr>
            </w:pPr>
            <w:r>
              <w:rPr>
                <w:rFonts w:ascii="Garamond" w:hAnsi="Garamond"/>
                <w:b/>
                <w:bCs/>
                <w:color w:val="000000"/>
                <w:sz w:val="22"/>
                <w:szCs w:val="22"/>
              </w:rPr>
              <w:t>Parámetro</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b/>
                <w:bCs/>
                <w:color w:val="000000"/>
                <w:sz w:val="22"/>
                <w:szCs w:val="22"/>
              </w:rPr>
            </w:pPr>
            <w:r>
              <w:rPr>
                <w:rFonts w:ascii="Garamond" w:hAnsi="Garamond"/>
                <w:b/>
                <w:bCs/>
                <w:color w:val="000000"/>
                <w:sz w:val="22"/>
                <w:szCs w:val="22"/>
              </w:rPr>
              <w:t>Unidad</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Rango</w:t>
            </w:r>
          </w:p>
        </w:tc>
      </w:tr>
      <w:tr w:rsidR="00AE131B" w:rsidTr="00562C98">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AL</w:t>
            </w:r>
            <w:r>
              <w:rPr>
                <w:rFonts w:ascii="Garamond" w:hAnsi="Garamond"/>
                <w:color w:val="000000"/>
                <w:sz w:val="22"/>
                <w:szCs w:val="22"/>
                <w:vertAlign w:val="subscript"/>
              </w:rPr>
              <w:t>2</w:t>
            </w:r>
            <w:r>
              <w:rPr>
                <w:rFonts w:ascii="Garamond" w:hAnsi="Garamond"/>
                <w:color w:val="000000"/>
                <w:sz w:val="22"/>
                <w:szCs w:val="22"/>
              </w:rPr>
              <w:t>O</w:t>
            </w:r>
            <w:r>
              <w:rPr>
                <w:rFonts w:ascii="Garamond" w:hAnsi="Garamond"/>
                <w:color w:val="000000"/>
                <w:sz w:val="22"/>
                <w:szCs w:val="22"/>
                <w:vertAlign w:val="sub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Mínimo 17</w:t>
            </w:r>
          </w:p>
        </w:tc>
      </w:tr>
      <w:tr w:rsidR="00AE131B" w:rsidTr="00562C98">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Fe</w:t>
            </w:r>
            <w:r>
              <w:rPr>
                <w:rFonts w:ascii="Garamond" w:hAnsi="Garamond"/>
                <w:color w:val="000000"/>
                <w:sz w:val="22"/>
                <w:szCs w:val="22"/>
                <w:vertAlign w:val="subscript"/>
              </w:rPr>
              <w:t>2</w:t>
            </w:r>
            <w:r>
              <w:rPr>
                <w:rFonts w:ascii="Garamond" w:hAnsi="Garamond"/>
                <w:color w:val="000000"/>
                <w:sz w:val="22"/>
                <w:szCs w:val="22"/>
              </w:rPr>
              <w:t>O</w:t>
            </w:r>
            <w:r>
              <w:rPr>
                <w:rFonts w:ascii="Garamond" w:hAnsi="Garamond"/>
                <w:color w:val="000000"/>
                <w:sz w:val="22"/>
                <w:szCs w:val="22"/>
                <w:vertAlign w:val="sub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Máximo 0.05</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Insolubles en Agua</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Máximo 0.06</w:t>
            </w:r>
          </w:p>
        </w:tc>
      </w:tr>
      <w:tr w:rsidR="00AE131B" w:rsidTr="00F77D9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Peso Molecular</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g/mol</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1575F5" w:rsidP="00562C98">
            <w:pPr>
              <w:jc w:val="center"/>
              <w:rPr>
                <w:rFonts w:ascii="Garamond" w:hAnsi="Garamond"/>
                <w:color w:val="000000"/>
                <w:sz w:val="22"/>
                <w:szCs w:val="22"/>
              </w:rPr>
            </w:pPr>
            <w:r w:rsidRPr="001575F5">
              <w:rPr>
                <w:rFonts w:ascii="Garamond" w:hAnsi="Garamond"/>
                <w:color w:val="000000"/>
                <w:sz w:val="22"/>
                <w:szCs w:val="22"/>
                <w:highlight w:val="yellow"/>
              </w:rPr>
              <w:t>Max 601</w:t>
            </w:r>
          </w:p>
        </w:tc>
      </w:tr>
      <w:tr w:rsidR="00AE131B" w:rsidTr="00F77D9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Color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Blanco-Crema</w:t>
            </w:r>
          </w:p>
        </w:tc>
      </w:tr>
      <w:tr w:rsidR="00AE131B" w:rsidTr="00F77D9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PH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Mínimo de 3.0 para soluciones al 1%</w:t>
            </w:r>
          </w:p>
        </w:tc>
      </w:tr>
      <w:tr w:rsidR="00AE131B" w:rsidTr="00F77D9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Acidez Libre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Ninguno</w:t>
            </w:r>
          </w:p>
        </w:tc>
      </w:tr>
      <w:tr w:rsidR="00AE131B" w:rsidTr="00F77D9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Granulometría 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Pasa tamiz #4</w:t>
            </w:r>
          </w:p>
        </w:tc>
      </w:tr>
      <w:tr w:rsidR="00AE131B" w:rsidTr="00F77D9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Granulometría 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Pasa tamiz #10</w:t>
            </w:r>
          </w:p>
        </w:tc>
      </w:tr>
    </w:tbl>
    <w:p w:rsidR="00AE131B" w:rsidRDefault="00AE131B" w:rsidP="00AE131B">
      <w:pPr>
        <w:jc w:val="both"/>
        <w:rPr>
          <w:rFonts w:ascii="Arial Narrow" w:hAnsi="Arial Narrow" w:cs="Arial"/>
        </w:rPr>
      </w:pPr>
    </w:p>
    <w:p w:rsidR="00AE131B" w:rsidRDefault="00AE131B" w:rsidP="00AE131B">
      <w:pPr>
        <w:jc w:val="both"/>
        <w:rPr>
          <w:rFonts w:ascii="Arial Narrow" w:hAnsi="Arial Narrow" w:cs="Arial"/>
        </w:rPr>
      </w:pPr>
    </w:p>
    <w:p w:rsidR="00AE131B" w:rsidRPr="00814EC1" w:rsidRDefault="00AE131B" w:rsidP="00AE131B">
      <w:pPr>
        <w:jc w:val="both"/>
        <w:rPr>
          <w:rFonts w:ascii="Arial Narrow" w:hAnsi="Arial Narrow" w:cs="Arial"/>
          <w:b/>
          <w:sz w:val="28"/>
        </w:rPr>
      </w:pPr>
      <w:r w:rsidRPr="00814EC1">
        <w:rPr>
          <w:rFonts w:ascii="Arial Narrow" w:hAnsi="Arial Narrow" w:cs="Arial"/>
          <w:b/>
          <w:sz w:val="28"/>
        </w:rPr>
        <w:t xml:space="preserve">Lote 2. </w:t>
      </w:r>
      <w:r>
        <w:rPr>
          <w:rFonts w:ascii="Arial Narrow" w:hAnsi="Arial Narrow" w:cs="Arial"/>
          <w:b/>
          <w:sz w:val="28"/>
        </w:rPr>
        <w:t>Un Millón Seiscientos Ochenta Mil</w:t>
      </w:r>
      <w:r w:rsidRPr="00814EC1">
        <w:rPr>
          <w:rFonts w:ascii="Arial Narrow" w:hAnsi="Arial Narrow" w:cs="Arial"/>
          <w:b/>
          <w:sz w:val="28"/>
        </w:rPr>
        <w:t xml:space="preserve"> (</w:t>
      </w:r>
      <w:r>
        <w:rPr>
          <w:rFonts w:ascii="Arial Narrow" w:hAnsi="Arial Narrow" w:cs="Arial"/>
          <w:b/>
          <w:sz w:val="28"/>
        </w:rPr>
        <w:t>1</w:t>
      </w:r>
      <w:proofErr w:type="gramStart"/>
      <w:r>
        <w:rPr>
          <w:rFonts w:ascii="Arial Narrow" w:hAnsi="Arial Narrow" w:cs="Arial"/>
          <w:b/>
          <w:sz w:val="28"/>
        </w:rPr>
        <w:t>,680,000.00</w:t>
      </w:r>
      <w:proofErr w:type="gramEnd"/>
      <w:r w:rsidRPr="00814EC1">
        <w:rPr>
          <w:rFonts w:ascii="Arial Narrow" w:hAnsi="Arial Narrow" w:cs="Arial"/>
          <w:b/>
          <w:sz w:val="28"/>
        </w:rPr>
        <w:t xml:space="preserve">) </w:t>
      </w:r>
      <w:r>
        <w:rPr>
          <w:rFonts w:ascii="Arial Narrow" w:hAnsi="Arial Narrow" w:cs="Arial"/>
          <w:b/>
          <w:sz w:val="28"/>
        </w:rPr>
        <w:t xml:space="preserve">Kilogramos </w:t>
      </w:r>
      <w:r w:rsidRPr="00814EC1">
        <w:rPr>
          <w:rFonts w:ascii="Arial Narrow" w:hAnsi="Arial Narrow" w:cs="Arial"/>
          <w:b/>
          <w:sz w:val="28"/>
        </w:rPr>
        <w:t xml:space="preserve">de </w:t>
      </w:r>
      <w:r w:rsidRPr="00472DB5">
        <w:rPr>
          <w:rFonts w:ascii="Arial Narrow" w:hAnsi="Arial Narrow" w:cs="Arial"/>
          <w:b/>
          <w:sz w:val="28"/>
          <w:highlight w:val="yellow"/>
        </w:rPr>
        <w:t>Sulfato Aluminio Liquido</w:t>
      </w:r>
    </w:p>
    <w:p w:rsidR="00AE131B" w:rsidRPr="00814EC1" w:rsidRDefault="00AE131B" w:rsidP="00AE131B">
      <w:pPr>
        <w:jc w:val="both"/>
        <w:rPr>
          <w:rFonts w:ascii="Arial Narrow" w:hAnsi="Arial Narrow" w:cs="Arial"/>
          <w:b/>
          <w:sz w:val="28"/>
        </w:rPr>
      </w:pPr>
    </w:p>
    <w:tbl>
      <w:tblPr>
        <w:tblW w:w="0" w:type="auto"/>
        <w:tblInd w:w="55" w:type="dxa"/>
        <w:tblCellMar>
          <w:left w:w="70" w:type="dxa"/>
          <w:right w:w="70" w:type="dxa"/>
        </w:tblCellMar>
        <w:tblLook w:val="04A0" w:firstRow="1" w:lastRow="0" w:firstColumn="1" w:lastColumn="0" w:noHBand="0" w:noVBand="1"/>
      </w:tblPr>
      <w:tblGrid>
        <w:gridCol w:w="991"/>
        <w:gridCol w:w="5094"/>
        <w:gridCol w:w="934"/>
        <w:gridCol w:w="1904"/>
      </w:tblGrid>
      <w:tr w:rsidR="00AE131B" w:rsidTr="00562C98">
        <w:trPr>
          <w:trHeight w:val="930"/>
        </w:trPr>
        <w:tc>
          <w:tcPr>
            <w:tcW w:w="0" w:type="auto"/>
            <w:vMerge w:val="restart"/>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LOTE II</w:t>
            </w:r>
          </w:p>
        </w:tc>
        <w:tc>
          <w:tcPr>
            <w:tcW w:w="0" w:type="auto"/>
            <w:gridSpan w:val="3"/>
            <w:tcBorders>
              <w:top w:val="single" w:sz="4" w:space="0" w:color="auto"/>
              <w:left w:val="nil"/>
              <w:bottom w:val="single" w:sz="4" w:space="0" w:color="auto"/>
              <w:right w:val="single" w:sz="4" w:space="0" w:color="auto"/>
            </w:tcBorders>
            <w:shd w:val="clear" w:color="000000" w:fill="B6DDE8"/>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1,680,000.00 Kilogramos de Sulfato de Aluminio Liquido y 2 Bombas Dosificadoras de Sulfato de Aluminio Liquido</w:t>
            </w:r>
          </w:p>
        </w:tc>
      </w:tr>
      <w:tr w:rsidR="00AE131B" w:rsidTr="00562C98">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000000" w:fill="538DD5"/>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 xml:space="preserve">1,680,000.00 Kilogramos de Sulfato de Aluminio Liquido </w:t>
            </w:r>
          </w:p>
        </w:tc>
      </w:tr>
      <w:tr w:rsidR="00AE131B" w:rsidTr="00562C98">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AE131B" w:rsidRDefault="00AE131B" w:rsidP="00562C98">
            <w:pPr>
              <w:rPr>
                <w:rFonts w:ascii="Garamond" w:hAnsi="Garamond"/>
                <w:b/>
                <w:bCs/>
                <w:color w:val="000000"/>
                <w:sz w:val="22"/>
                <w:szCs w:val="22"/>
              </w:rPr>
            </w:pPr>
            <w:r>
              <w:rPr>
                <w:rFonts w:ascii="Garamond" w:hAnsi="Garamond"/>
                <w:b/>
                <w:bCs/>
                <w:color w:val="000000"/>
                <w:sz w:val="22"/>
                <w:szCs w:val="22"/>
              </w:rPr>
              <w:t>Parámetros de la norma Icontec 531, 5ta revisión</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b/>
                <w:bCs/>
                <w:color w:val="000000"/>
                <w:sz w:val="22"/>
                <w:szCs w:val="22"/>
              </w:rPr>
            </w:pPr>
            <w:r>
              <w:rPr>
                <w:rFonts w:ascii="Garamond" w:hAnsi="Garamond"/>
                <w:b/>
                <w:bCs/>
                <w:color w:val="000000"/>
                <w:sz w:val="22"/>
                <w:szCs w:val="22"/>
              </w:rPr>
              <w:t>Unidad</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Especificaciones</w:t>
            </w:r>
          </w:p>
        </w:tc>
      </w:tr>
      <w:tr w:rsidR="00AE131B" w:rsidTr="00562C98">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Alúmina (AL</w:t>
            </w:r>
            <w:r>
              <w:rPr>
                <w:rFonts w:ascii="Calibri" w:hAnsi="Calibri"/>
                <w:color w:val="000000"/>
                <w:sz w:val="22"/>
                <w:szCs w:val="22"/>
                <w:vertAlign w:val="subscript"/>
              </w:rPr>
              <w:t>2</w:t>
            </w:r>
            <w:r>
              <w:rPr>
                <w:rFonts w:ascii="Calibri" w:hAnsi="Calibri"/>
                <w:color w:val="000000"/>
                <w:sz w:val="22"/>
                <w:szCs w:val="22"/>
              </w:rPr>
              <w:t>O</w:t>
            </w:r>
            <w:r>
              <w:rPr>
                <w:rFonts w:ascii="Calibri" w:hAnsi="Calibri"/>
                <w:color w:val="000000"/>
                <w:sz w:val="22"/>
                <w:szCs w:val="22"/>
                <w:vertAlign w:val="sub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7.00-8.00</w:t>
            </w:r>
          </w:p>
        </w:tc>
      </w:tr>
      <w:tr w:rsidR="00AE131B" w:rsidTr="00562C98">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Óxido de Hierro (Fe</w:t>
            </w:r>
            <w:r>
              <w:rPr>
                <w:rFonts w:ascii="Calibri" w:hAnsi="Calibri"/>
                <w:color w:val="000000"/>
                <w:sz w:val="22"/>
                <w:szCs w:val="22"/>
                <w:vertAlign w:val="subscript"/>
              </w:rPr>
              <w:t>2</w:t>
            </w:r>
            <w:r>
              <w:rPr>
                <w:rFonts w:ascii="Calibri" w:hAnsi="Calibri"/>
                <w:color w:val="000000"/>
                <w:sz w:val="22"/>
                <w:szCs w:val="22"/>
              </w:rPr>
              <w:t>O</w:t>
            </w:r>
            <w:r>
              <w:rPr>
                <w:rFonts w:ascii="Calibri" w:hAnsi="Calibri"/>
                <w:color w:val="000000"/>
                <w:sz w:val="22"/>
                <w:szCs w:val="22"/>
                <w:vertAlign w:val="sub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0.95-1.30</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Material Insoluble</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0.02-0.1</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Basicidad Libre (A L2O3) O</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0.10-0.15</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Valor PH</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0.90-1.60</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Densidad</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g/ml</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1.30-1.40</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 xml:space="preserve">Temperatura de Análisis </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 </w:t>
            </w:r>
          </w:p>
        </w:tc>
      </w:tr>
      <w:tr w:rsidR="00AE131B" w:rsidTr="00562C98">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000000" w:fill="538DD5"/>
            <w:noWrap/>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 xml:space="preserve">      Dos (2) Bombas Dosificadoras de Sulfato de Aluminio Liquido</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Capacidad de dosificación mínima de 60 litros/horas- máxima 600 litros/horas</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Caudal a tratar 2 m3/segundos dosis 20-120ppm</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Presión máxima de descarga 72PSI</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Precisión del 2%</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Motor eléctrico trifásico tipo jaula de ardilla industrial de 2.2kw. 60hz</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Material del diafragma: PTFE (teflón)</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Cabezal en PP reforzado en fibra de vidrio</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 xml:space="preserve">Válvula en esfera de vidrio </w:t>
            </w:r>
            <w:proofErr w:type="spellStart"/>
            <w:r>
              <w:rPr>
                <w:rFonts w:ascii="Garamond" w:hAnsi="Garamond"/>
                <w:color w:val="000000"/>
                <w:sz w:val="22"/>
                <w:szCs w:val="22"/>
              </w:rPr>
              <w:t>Pirex</w:t>
            </w:r>
            <w:proofErr w:type="spellEnd"/>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Asiento de la válvula en PVC</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 xml:space="preserve">Sello de la válvula en </w:t>
            </w:r>
            <w:proofErr w:type="spellStart"/>
            <w:r>
              <w:rPr>
                <w:rFonts w:ascii="Garamond" w:hAnsi="Garamond"/>
                <w:color w:val="000000"/>
                <w:sz w:val="22"/>
                <w:szCs w:val="22"/>
              </w:rPr>
              <w:t>viton</w:t>
            </w:r>
            <w:proofErr w:type="spellEnd"/>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 xml:space="preserve">Conexión </w:t>
            </w:r>
            <w:proofErr w:type="spellStart"/>
            <w:r>
              <w:rPr>
                <w:rFonts w:ascii="Garamond" w:hAnsi="Garamond"/>
                <w:color w:val="000000"/>
                <w:sz w:val="22"/>
                <w:szCs w:val="22"/>
              </w:rPr>
              <w:t>flanchada</w:t>
            </w:r>
            <w:proofErr w:type="spellEnd"/>
            <w:r>
              <w:rPr>
                <w:rFonts w:ascii="Garamond" w:hAnsi="Garamond"/>
                <w:color w:val="000000"/>
                <w:sz w:val="22"/>
                <w:szCs w:val="22"/>
              </w:rPr>
              <w:t xml:space="preserve"> 1-1/2”, ANSI 150</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000000" w:fill="538DD5"/>
            <w:noWrap/>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 xml:space="preserve">      Dos (2) Tanques de almacenamiento </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Calibri" w:hAnsi="Calibri"/>
                <w:color w:val="000000"/>
                <w:sz w:val="22"/>
                <w:szCs w:val="22"/>
              </w:rPr>
            </w:pPr>
            <w:r>
              <w:rPr>
                <w:rFonts w:ascii="Calibri" w:hAnsi="Calibri"/>
                <w:color w:val="000000"/>
                <w:sz w:val="22"/>
                <w:szCs w:val="22"/>
              </w:rPr>
              <w:t>Ovalados Construidos en fibra de vidrio</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Calibri" w:hAnsi="Calibri"/>
                <w:color w:val="000000"/>
                <w:sz w:val="22"/>
                <w:szCs w:val="22"/>
              </w:rPr>
            </w:pPr>
            <w:r>
              <w:rPr>
                <w:rFonts w:ascii="Calibri" w:hAnsi="Calibri"/>
                <w:color w:val="000000"/>
                <w:sz w:val="22"/>
                <w:szCs w:val="22"/>
              </w:rPr>
              <w:t> </w:t>
            </w:r>
          </w:p>
        </w:tc>
      </w:tr>
      <w:tr w:rsidR="00AE131B" w:rsidTr="00562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Calibri" w:hAnsi="Calibri"/>
                <w:color w:val="000000"/>
                <w:sz w:val="22"/>
                <w:szCs w:val="22"/>
              </w:rPr>
            </w:pPr>
            <w:r>
              <w:rPr>
                <w:rFonts w:ascii="Calibri" w:hAnsi="Calibri"/>
                <w:color w:val="000000"/>
                <w:sz w:val="22"/>
                <w:szCs w:val="22"/>
              </w:rPr>
              <w:t xml:space="preserve">Capacidad de almacenamiento de 15,000 galones </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Calibri" w:hAnsi="Calibri"/>
                <w:color w:val="000000"/>
                <w:sz w:val="22"/>
                <w:szCs w:val="22"/>
              </w:rPr>
            </w:pPr>
            <w:r>
              <w:rPr>
                <w:rFonts w:ascii="Calibri" w:hAnsi="Calibri"/>
                <w:color w:val="000000"/>
                <w:sz w:val="22"/>
                <w:szCs w:val="22"/>
              </w:rPr>
              <w:t> </w:t>
            </w:r>
          </w:p>
        </w:tc>
      </w:tr>
      <w:tr w:rsidR="00AE131B" w:rsidTr="00562C98">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AE131B" w:rsidRDefault="00AE131B" w:rsidP="00562C98">
            <w:pPr>
              <w:rPr>
                <w:rFonts w:ascii="Calibri" w:hAnsi="Calibri"/>
                <w:color w:val="000000"/>
                <w:sz w:val="22"/>
                <w:szCs w:val="22"/>
              </w:rPr>
            </w:pPr>
            <w:r>
              <w:rPr>
                <w:rFonts w:ascii="Calibri" w:hAnsi="Calibri"/>
                <w:color w:val="000000"/>
                <w:sz w:val="22"/>
                <w:szCs w:val="22"/>
              </w:rPr>
              <w:t>Colocados en posición Horizontal sobre tres apoyos de hormigón armado sobre el novel del terreno a una altura de 1 Mt próximo a cada entrada de agua cruda de los módulos que componen la Planta Potabilizadora</w:t>
            </w:r>
          </w:p>
        </w:tc>
      </w:tr>
    </w:tbl>
    <w:p w:rsidR="00AE131B" w:rsidRDefault="00AE131B" w:rsidP="00AE131B">
      <w:pPr>
        <w:jc w:val="both"/>
        <w:rPr>
          <w:rFonts w:ascii="Arial Narrow" w:hAnsi="Arial Narrow" w:cs="Arial"/>
        </w:rPr>
      </w:pPr>
    </w:p>
    <w:p w:rsidR="00AE131B" w:rsidRDefault="00AE131B" w:rsidP="00AE131B">
      <w:pPr>
        <w:jc w:val="both"/>
        <w:rPr>
          <w:rFonts w:ascii="Arial Narrow" w:hAnsi="Arial Narrow" w:cs="Arial"/>
        </w:rPr>
      </w:pPr>
    </w:p>
    <w:p w:rsidR="00AE131B" w:rsidRPr="00814EC1" w:rsidRDefault="00AE131B" w:rsidP="00AE131B">
      <w:pPr>
        <w:jc w:val="both"/>
        <w:rPr>
          <w:rFonts w:ascii="Arial Narrow" w:hAnsi="Arial Narrow" w:cs="Arial"/>
          <w:b/>
          <w:sz w:val="28"/>
        </w:rPr>
      </w:pPr>
      <w:r w:rsidRPr="00814EC1">
        <w:rPr>
          <w:rFonts w:ascii="Arial Narrow" w:hAnsi="Arial Narrow" w:cs="Arial"/>
          <w:b/>
          <w:sz w:val="28"/>
        </w:rPr>
        <w:t xml:space="preserve">Lote 3. </w:t>
      </w:r>
      <w:r>
        <w:rPr>
          <w:rFonts w:ascii="Arial Narrow" w:hAnsi="Arial Narrow" w:cs="Arial"/>
          <w:b/>
          <w:sz w:val="28"/>
        </w:rPr>
        <w:t xml:space="preserve">Un Millón Seiscientos Ochenta Mil </w:t>
      </w:r>
      <w:r w:rsidRPr="00814EC1">
        <w:rPr>
          <w:rFonts w:ascii="Arial Narrow" w:hAnsi="Arial Narrow" w:cs="Arial"/>
          <w:b/>
          <w:sz w:val="28"/>
        </w:rPr>
        <w:t>(</w:t>
      </w:r>
      <w:r>
        <w:rPr>
          <w:rFonts w:ascii="Arial Narrow" w:hAnsi="Arial Narrow" w:cs="Arial"/>
          <w:b/>
          <w:sz w:val="28"/>
        </w:rPr>
        <w:t>1</w:t>
      </w:r>
      <w:proofErr w:type="gramStart"/>
      <w:r>
        <w:rPr>
          <w:rFonts w:ascii="Arial Narrow" w:hAnsi="Arial Narrow" w:cs="Arial"/>
          <w:b/>
          <w:sz w:val="28"/>
        </w:rPr>
        <w:t>,680,000.00</w:t>
      </w:r>
      <w:proofErr w:type="gramEnd"/>
      <w:r>
        <w:rPr>
          <w:rFonts w:ascii="Arial Narrow" w:hAnsi="Arial Narrow" w:cs="Arial"/>
          <w:b/>
          <w:sz w:val="28"/>
        </w:rPr>
        <w:t>) Kilogramos</w:t>
      </w:r>
      <w:r w:rsidRPr="00814EC1">
        <w:rPr>
          <w:rFonts w:ascii="Arial Narrow" w:hAnsi="Arial Narrow" w:cs="Arial"/>
          <w:b/>
          <w:sz w:val="28"/>
        </w:rPr>
        <w:t xml:space="preserve"> de </w:t>
      </w:r>
      <w:proofErr w:type="spellStart"/>
      <w:r w:rsidRPr="00472DB5">
        <w:rPr>
          <w:rFonts w:ascii="Arial Narrow" w:hAnsi="Arial Narrow" w:cs="Arial"/>
          <w:b/>
          <w:sz w:val="28"/>
          <w:highlight w:val="yellow"/>
        </w:rPr>
        <w:t>Hidróxicloruro</w:t>
      </w:r>
      <w:proofErr w:type="spellEnd"/>
      <w:r w:rsidRPr="00472DB5">
        <w:rPr>
          <w:rFonts w:ascii="Arial Narrow" w:hAnsi="Arial Narrow" w:cs="Arial"/>
          <w:b/>
          <w:sz w:val="28"/>
          <w:highlight w:val="yellow"/>
        </w:rPr>
        <w:t xml:space="preserve"> de Aluminio Liquido</w:t>
      </w:r>
      <w:r w:rsidRPr="00814EC1">
        <w:rPr>
          <w:rFonts w:ascii="Arial Narrow" w:hAnsi="Arial Narrow" w:cs="Arial"/>
          <w:b/>
          <w:sz w:val="28"/>
        </w:rPr>
        <w:t xml:space="preserve"> </w:t>
      </w:r>
    </w:p>
    <w:p w:rsidR="00AE131B" w:rsidRDefault="00AE131B" w:rsidP="00AE131B">
      <w:pPr>
        <w:rPr>
          <w:rFonts w:ascii="Arial Narrow" w:hAnsi="Arial Narrow" w:cs="Arial"/>
          <w:b/>
          <w:color w:val="990000"/>
        </w:rPr>
      </w:pPr>
    </w:p>
    <w:tbl>
      <w:tblPr>
        <w:tblW w:w="0" w:type="auto"/>
        <w:tblInd w:w="55" w:type="dxa"/>
        <w:tblCellMar>
          <w:left w:w="70" w:type="dxa"/>
          <w:right w:w="70" w:type="dxa"/>
        </w:tblCellMar>
        <w:tblLook w:val="04A0" w:firstRow="1" w:lastRow="0" w:firstColumn="1" w:lastColumn="0" w:noHBand="0" w:noVBand="1"/>
      </w:tblPr>
      <w:tblGrid>
        <w:gridCol w:w="1078"/>
        <w:gridCol w:w="4456"/>
        <w:gridCol w:w="1169"/>
        <w:gridCol w:w="2220"/>
      </w:tblGrid>
      <w:tr w:rsidR="00AE131B" w:rsidTr="00562C98">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7DEE8"/>
            <w:noWrap/>
            <w:vAlign w:val="center"/>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LOTE III</w:t>
            </w:r>
          </w:p>
        </w:tc>
        <w:tc>
          <w:tcPr>
            <w:tcW w:w="0" w:type="auto"/>
            <w:gridSpan w:val="3"/>
            <w:tcBorders>
              <w:top w:val="single" w:sz="4" w:space="0" w:color="auto"/>
              <w:left w:val="nil"/>
              <w:bottom w:val="single" w:sz="4" w:space="0" w:color="auto"/>
              <w:right w:val="single" w:sz="4" w:space="0" w:color="auto"/>
            </w:tcBorders>
            <w:shd w:val="clear" w:color="000000" w:fill="B6DDE8"/>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 xml:space="preserve">1,680,000.00 Kilogramos de </w:t>
            </w:r>
            <w:proofErr w:type="spellStart"/>
            <w:r>
              <w:rPr>
                <w:rFonts w:ascii="Garamond" w:hAnsi="Garamond"/>
                <w:b/>
                <w:bCs/>
                <w:color w:val="000000"/>
                <w:sz w:val="22"/>
                <w:szCs w:val="22"/>
              </w:rPr>
              <w:t>Hidroxicloruro</w:t>
            </w:r>
            <w:proofErr w:type="spellEnd"/>
            <w:r>
              <w:rPr>
                <w:rFonts w:ascii="Garamond" w:hAnsi="Garamond"/>
                <w:b/>
                <w:bCs/>
                <w:color w:val="000000"/>
                <w:sz w:val="22"/>
                <w:szCs w:val="22"/>
              </w:rPr>
              <w:t xml:space="preserve"> de Aluminio Liquido y 2 Bombas Dosificadoras de </w:t>
            </w:r>
            <w:proofErr w:type="spellStart"/>
            <w:r>
              <w:rPr>
                <w:rFonts w:ascii="Garamond" w:hAnsi="Garamond"/>
                <w:b/>
                <w:bCs/>
                <w:color w:val="000000"/>
                <w:sz w:val="22"/>
                <w:szCs w:val="22"/>
              </w:rPr>
              <w:t>Hidroxicloruro</w:t>
            </w:r>
            <w:proofErr w:type="spellEnd"/>
            <w:r>
              <w:rPr>
                <w:rFonts w:ascii="Garamond" w:hAnsi="Garamond"/>
                <w:b/>
                <w:bCs/>
                <w:color w:val="000000"/>
                <w:sz w:val="22"/>
                <w:szCs w:val="22"/>
              </w:rPr>
              <w:t xml:space="preserve"> de Aluminio Liquido</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000000" w:fill="538DD5"/>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 xml:space="preserve">1,680,000.00 Kilogramos de </w:t>
            </w:r>
            <w:proofErr w:type="spellStart"/>
            <w:r>
              <w:rPr>
                <w:rFonts w:ascii="Garamond" w:hAnsi="Garamond"/>
                <w:b/>
                <w:bCs/>
                <w:color w:val="000000"/>
                <w:sz w:val="22"/>
                <w:szCs w:val="22"/>
              </w:rPr>
              <w:t>Hidroxicloruro</w:t>
            </w:r>
            <w:proofErr w:type="spellEnd"/>
            <w:r>
              <w:rPr>
                <w:rFonts w:ascii="Garamond" w:hAnsi="Garamond"/>
                <w:b/>
                <w:bCs/>
                <w:color w:val="000000"/>
                <w:sz w:val="22"/>
                <w:szCs w:val="22"/>
              </w:rPr>
              <w:t xml:space="preserve"> de Aluminio Liquido</w:t>
            </w:r>
          </w:p>
        </w:tc>
      </w:tr>
      <w:tr w:rsidR="00AE131B" w:rsidTr="00562C98">
        <w:trPr>
          <w:trHeight w:val="6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AE131B" w:rsidRDefault="00AE131B" w:rsidP="00562C98">
            <w:pPr>
              <w:rPr>
                <w:rFonts w:ascii="Garamond" w:hAnsi="Garamond"/>
                <w:b/>
                <w:bCs/>
                <w:color w:val="000000"/>
                <w:sz w:val="22"/>
                <w:szCs w:val="22"/>
              </w:rPr>
            </w:pPr>
            <w:r>
              <w:rPr>
                <w:rFonts w:ascii="Garamond" w:hAnsi="Garamond"/>
                <w:b/>
                <w:bCs/>
                <w:color w:val="000000"/>
                <w:sz w:val="22"/>
                <w:szCs w:val="22"/>
              </w:rPr>
              <w:t>Parámetros de la norma Icontec 531, 5ta revisión</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b/>
                <w:bCs/>
                <w:color w:val="000000"/>
                <w:sz w:val="22"/>
                <w:szCs w:val="22"/>
              </w:rPr>
            </w:pPr>
            <w:r>
              <w:rPr>
                <w:rFonts w:ascii="Garamond" w:hAnsi="Garamond"/>
                <w:b/>
                <w:bCs/>
                <w:color w:val="000000"/>
                <w:sz w:val="22"/>
                <w:szCs w:val="22"/>
              </w:rPr>
              <w:t>Unidad</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Especificaciones</w:t>
            </w:r>
          </w:p>
        </w:tc>
      </w:tr>
      <w:tr w:rsidR="00AE131B" w:rsidTr="00562C98">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Alúmina (AL</w:t>
            </w:r>
            <w:r>
              <w:rPr>
                <w:rFonts w:ascii="Calibri" w:hAnsi="Calibri"/>
                <w:color w:val="000000"/>
                <w:sz w:val="22"/>
                <w:szCs w:val="22"/>
                <w:vertAlign w:val="subscript"/>
              </w:rPr>
              <w:t>2</w:t>
            </w:r>
            <w:r>
              <w:rPr>
                <w:rFonts w:ascii="Calibri" w:hAnsi="Calibri"/>
                <w:color w:val="000000"/>
                <w:sz w:val="22"/>
                <w:szCs w:val="22"/>
              </w:rPr>
              <w:t>O</w:t>
            </w:r>
            <w:r>
              <w:rPr>
                <w:rFonts w:ascii="Calibri" w:hAnsi="Calibri"/>
                <w:color w:val="000000"/>
                <w:sz w:val="22"/>
                <w:szCs w:val="22"/>
                <w:vertAlign w:val="subscript"/>
              </w:rPr>
              <w:t>3)</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18-22</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Basicidad Libre (A L2O3) O</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70.0 min</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Turbiedad</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NTU</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Max. 50</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Densidad</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g/ml</w:t>
            </w:r>
          </w:p>
        </w:tc>
        <w:tc>
          <w:tcPr>
            <w:tcW w:w="0" w:type="auto"/>
            <w:tcBorders>
              <w:top w:val="nil"/>
              <w:left w:val="nil"/>
              <w:bottom w:val="single" w:sz="4" w:space="0" w:color="auto"/>
              <w:right w:val="single" w:sz="4" w:space="0" w:color="auto"/>
            </w:tcBorders>
            <w:shd w:val="clear" w:color="auto" w:fill="auto"/>
            <w:noWrap/>
            <w:vAlign w:val="bottom"/>
            <w:hideMark/>
          </w:tcPr>
          <w:p w:rsidR="00AE131B" w:rsidRDefault="00AE131B" w:rsidP="00562C98">
            <w:pPr>
              <w:jc w:val="center"/>
              <w:rPr>
                <w:rFonts w:ascii="Garamond" w:hAnsi="Garamond"/>
                <w:color w:val="000000"/>
                <w:sz w:val="22"/>
                <w:szCs w:val="22"/>
              </w:rPr>
            </w:pPr>
            <w:r>
              <w:rPr>
                <w:rFonts w:ascii="Garamond" w:hAnsi="Garamond"/>
                <w:color w:val="000000"/>
                <w:sz w:val="22"/>
                <w:szCs w:val="22"/>
              </w:rPr>
              <w:t>1.25-1.35</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000000" w:fill="538DD5"/>
            <w:noWrap/>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 xml:space="preserve">Dos (2) Bombas Dosificadoras de </w:t>
            </w:r>
            <w:proofErr w:type="spellStart"/>
            <w:r>
              <w:rPr>
                <w:rFonts w:ascii="Garamond" w:hAnsi="Garamond"/>
                <w:b/>
                <w:bCs/>
                <w:color w:val="000000"/>
                <w:sz w:val="22"/>
                <w:szCs w:val="22"/>
              </w:rPr>
              <w:t>Hidroxicloruro</w:t>
            </w:r>
            <w:proofErr w:type="spellEnd"/>
            <w:r>
              <w:rPr>
                <w:rFonts w:ascii="Garamond" w:hAnsi="Garamond"/>
                <w:b/>
                <w:bCs/>
                <w:color w:val="000000"/>
                <w:sz w:val="22"/>
                <w:szCs w:val="22"/>
              </w:rPr>
              <w:t xml:space="preserve"> de Aluminio Liquido</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Capacidad de dosificación mínima de 60 litros/horas- máxima 600 litros/horas</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Caudal a tratar 2 m3/segundos dosis 20-120ppm</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Presión máxima de descarga 72PSI</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Precisión del 2%</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Motor eléctrico trifásico tipo jaula de ardilla industrial de 2.2kw. 60hz</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Material del diafragma: PTFE (teflón)</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Cabezal en PP reforzado en fibra de vidrio</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 xml:space="preserve">Válvula en esfera de vidrio </w:t>
            </w:r>
            <w:proofErr w:type="spellStart"/>
            <w:r>
              <w:rPr>
                <w:rFonts w:ascii="Garamond" w:hAnsi="Garamond"/>
                <w:color w:val="000000"/>
                <w:sz w:val="22"/>
                <w:szCs w:val="22"/>
              </w:rPr>
              <w:t>Pirex</w:t>
            </w:r>
            <w:proofErr w:type="spellEnd"/>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Asiento de la válvula en PVC</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 xml:space="preserve">Sello de la válvula en </w:t>
            </w:r>
            <w:proofErr w:type="spellStart"/>
            <w:r>
              <w:rPr>
                <w:rFonts w:ascii="Garamond" w:hAnsi="Garamond"/>
                <w:color w:val="000000"/>
                <w:sz w:val="22"/>
                <w:szCs w:val="22"/>
              </w:rPr>
              <w:t>viton</w:t>
            </w:r>
            <w:proofErr w:type="spellEnd"/>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E131B" w:rsidRDefault="00AE131B" w:rsidP="00562C98">
            <w:pPr>
              <w:rPr>
                <w:rFonts w:ascii="Garamond" w:hAnsi="Garamond"/>
                <w:color w:val="000000"/>
                <w:sz w:val="22"/>
                <w:szCs w:val="22"/>
              </w:rPr>
            </w:pPr>
            <w:r>
              <w:rPr>
                <w:rFonts w:ascii="Garamond" w:hAnsi="Garamond"/>
                <w:color w:val="000000"/>
                <w:sz w:val="22"/>
                <w:szCs w:val="22"/>
              </w:rPr>
              <w:t xml:space="preserve">Conexión </w:t>
            </w:r>
            <w:proofErr w:type="spellStart"/>
            <w:r>
              <w:rPr>
                <w:rFonts w:ascii="Garamond" w:hAnsi="Garamond"/>
                <w:color w:val="000000"/>
                <w:sz w:val="22"/>
                <w:szCs w:val="22"/>
              </w:rPr>
              <w:t>flanchada</w:t>
            </w:r>
            <w:proofErr w:type="spellEnd"/>
            <w:r>
              <w:rPr>
                <w:rFonts w:ascii="Garamond" w:hAnsi="Garamond"/>
                <w:color w:val="000000"/>
                <w:sz w:val="22"/>
                <w:szCs w:val="22"/>
              </w:rPr>
              <w:t xml:space="preserve"> 1-1/2”, ANSI 150</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000000" w:fill="538DD5"/>
            <w:noWrap/>
            <w:vAlign w:val="bottom"/>
            <w:hideMark/>
          </w:tcPr>
          <w:p w:rsidR="00AE131B" w:rsidRDefault="00AE131B" w:rsidP="00562C98">
            <w:pPr>
              <w:jc w:val="center"/>
              <w:rPr>
                <w:rFonts w:ascii="Garamond" w:hAnsi="Garamond"/>
                <w:b/>
                <w:bCs/>
                <w:color w:val="000000"/>
                <w:sz w:val="22"/>
                <w:szCs w:val="22"/>
              </w:rPr>
            </w:pPr>
            <w:r>
              <w:rPr>
                <w:rFonts w:ascii="Garamond" w:hAnsi="Garamond"/>
                <w:b/>
                <w:bCs/>
                <w:color w:val="000000"/>
                <w:sz w:val="22"/>
                <w:szCs w:val="22"/>
              </w:rPr>
              <w:t xml:space="preserve">      Dos (2) Tanques de almacenamiento </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AE131B" w:rsidRDefault="00AE131B" w:rsidP="00562C98">
            <w:pPr>
              <w:rPr>
                <w:rFonts w:ascii="Calibri" w:hAnsi="Calibri"/>
                <w:color w:val="000000"/>
                <w:sz w:val="22"/>
                <w:szCs w:val="22"/>
              </w:rPr>
            </w:pPr>
            <w:r>
              <w:rPr>
                <w:rFonts w:ascii="Calibri" w:hAnsi="Calibri"/>
                <w:color w:val="000000"/>
                <w:sz w:val="22"/>
                <w:szCs w:val="22"/>
              </w:rPr>
              <w:t>Ovalados Construidos en fibra de vidrio</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AE131B" w:rsidRDefault="00AE131B" w:rsidP="00562C98">
            <w:pPr>
              <w:rPr>
                <w:rFonts w:ascii="Calibri" w:hAnsi="Calibri"/>
                <w:color w:val="000000"/>
                <w:sz w:val="22"/>
                <w:szCs w:val="22"/>
              </w:rPr>
            </w:pPr>
            <w:r>
              <w:rPr>
                <w:rFonts w:ascii="Calibri" w:hAnsi="Calibri"/>
                <w:color w:val="000000"/>
                <w:sz w:val="22"/>
                <w:szCs w:val="22"/>
              </w:rPr>
              <w:t xml:space="preserve">Capacidad de almacenamiento de 15,000 galones </w:t>
            </w:r>
          </w:p>
        </w:tc>
      </w:tr>
      <w:tr w:rsidR="00AE131B" w:rsidTr="00562C9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E131B" w:rsidRDefault="00AE131B" w:rsidP="00562C98">
            <w:pPr>
              <w:rPr>
                <w:rFonts w:ascii="Garamond" w:hAnsi="Garamond"/>
                <w:b/>
                <w:bCs/>
                <w:color w:val="000000"/>
                <w:sz w:val="22"/>
                <w:szCs w:val="22"/>
              </w:rPr>
            </w:pP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AE131B" w:rsidRDefault="00AE131B" w:rsidP="00562C98">
            <w:pPr>
              <w:rPr>
                <w:rFonts w:ascii="Calibri" w:hAnsi="Calibri"/>
                <w:color w:val="000000"/>
                <w:sz w:val="22"/>
                <w:szCs w:val="22"/>
              </w:rPr>
            </w:pPr>
            <w:r>
              <w:rPr>
                <w:rFonts w:ascii="Calibri" w:hAnsi="Calibri"/>
                <w:color w:val="000000"/>
                <w:sz w:val="22"/>
                <w:szCs w:val="22"/>
              </w:rPr>
              <w:t>Colocados en posición Horizontal sobre tres apoyos de hormigón armado sobre el nivel del terreno a una altura de 1 Mt próximo a cada entrada de agua cruda de los módulos que componen la Planta Potabilizadora</w:t>
            </w:r>
          </w:p>
        </w:tc>
      </w:tr>
    </w:tbl>
    <w:p w:rsidR="00B32D3A" w:rsidRDefault="00A859AF"/>
    <w:p w:rsidR="00820D48" w:rsidRDefault="00820D48" w:rsidP="00820D48">
      <w:pPr>
        <w:pStyle w:val="Ttulo3"/>
      </w:pPr>
      <w:bookmarkStart w:id="5" w:name="_Toc271530521"/>
      <w:bookmarkStart w:id="6" w:name="_Toc410128608"/>
      <w:r>
        <w:t>Se modifica el acápite 2.14 Documentación a Presentar para que en lo adelante se lea:</w:t>
      </w:r>
    </w:p>
    <w:p w:rsidR="00820D48" w:rsidRDefault="00820D48" w:rsidP="00820D48">
      <w:pPr>
        <w:pStyle w:val="Ttulo3"/>
        <w:numPr>
          <w:ilvl w:val="0"/>
          <w:numId w:val="0"/>
        </w:numPr>
        <w:ind w:left="720"/>
      </w:pPr>
    </w:p>
    <w:p w:rsidR="00AE131B" w:rsidRDefault="00AE131B" w:rsidP="00820D48">
      <w:pPr>
        <w:pStyle w:val="Ttulo3"/>
        <w:numPr>
          <w:ilvl w:val="0"/>
          <w:numId w:val="0"/>
        </w:numPr>
        <w:ind w:left="720"/>
      </w:pPr>
      <w:r>
        <w:t>2.14</w:t>
      </w:r>
      <w:r w:rsidRPr="003714DF">
        <w:t xml:space="preserve"> Documentación a Presentar</w:t>
      </w:r>
      <w:bookmarkEnd w:id="5"/>
      <w:bookmarkEnd w:id="6"/>
    </w:p>
    <w:p w:rsidR="00AE131B" w:rsidRPr="006F4D3D" w:rsidRDefault="00AE131B" w:rsidP="00AE131B">
      <w:pPr>
        <w:pStyle w:val="Textoindependiente"/>
        <w:rPr>
          <w:rFonts w:ascii="Arial Narrow" w:hAnsi="Arial Narrow" w:cs="Arial"/>
          <w:color w:val="auto"/>
        </w:rPr>
      </w:pPr>
    </w:p>
    <w:p w:rsidR="00AE131B" w:rsidRPr="006F4D3D" w:rsidRDefault="00AE131B" w:rsidP="00AE131B">
      <w:pPr>
        <w:pStyle w:val="Textoindependiente"/>
        <w:numPr>
          <w:ilvl w:val="0"/>
          <w:numId w:val="4"/>
        </w:numPr>
        <w:rPr>
          <w:rFonts w:ascii="Arial Narrow" w:hAnsi="Arial Narrow" w:cs="Arial"/>
          <w:color w:val="auto"/>
        </w:rPr>
      </w:pPr>
      <w:r w:rsidRPr="006F4D3D">
        <w:rPr>
          <w:rFonts w:ascii="Arial Narrow" w:hAnsi="Arial Narrow" w:cs="Arial"/>
          <w:color w:val="auto"/>
        </w:rPr>
        <w:t>Documentación Legal:</w:t>
      </w:r>
    </w:p>
    <w:p w:rsidR="00AE131B" w:rsidRPr="00814EC1" w:rsidRDefault="00AE131B" w:rsidP="00AE131B">
      <w:pPr>
        <w:pStyle w:val="Prrafodelista"/>
        <w:numPr>
          <w:ilvl w:val="0"/>
          <w:numId w:val="5"/>
        </w:numPr>
        <w:jc w:val="both"/>
        <w:rPr>
          <w:rFonts w:ascii="Arial Narrow" w:hAnsi="Arial Narrow" w:cs="Arial"/>
          <w:color w:val="000000"/>
        </w:rPr>
      </w:pPr>
      <w:r w:rsidRPr="00814EC1">
        <w:rPr>
          <w:rFonts w:ascii="Arial Narrow" w:hAnsi="Arial Narrow" w:cs="Arial"/>
          <w:color w:val="000000"/>
        </w:rPr>
        <w:t xml:space="preserve">Formulario de Presentación de Oferta. (SNCC.F.034). </w:t>
      </w:r>
    </w:p>
    <w:p w:rsidR="00AE131B" w:rsidRPr="00814EC1" w:rsidRDefault="00AE131B" w:rsidP="00AE131B">
      <w:pPr>
        <w:pStyle w:val="Prrafodelista"/>
        <w:numPr>
          <w:ilvl w:val="0"/>
          <w:numId w:val="5"/>
        </w:numPr>
        <w:jc w:val="both"/>
        <w:rPr>
          <w:rFonts w:ascii="Arial Narrow" w:hAnsi="Arial Narrow" w:cs="Arial"/>
          <w:color w:val="000000"/>
        </w:rPr>
      </w:pPr>
      <w:r w:rsidRPr="00814EC1">
        <w:rPr>
          <w:rFonts w:ascii="Arial Narrow" w:hAnsi="Arial Narrow" w:cs="Arial"/>
          <w:color w:val="000000"/>
        </w:rPr>
        <w:t xml:space="preserve">Registro Mercantil (Vigente). </w:t>
      </w:r>
    </w:p>
    <w:p w:rsidR="00AE131B" w:rsidRPr="00814EC1" w:rsidRDefault="00AE131B" w:rsidP="00AE131B">
      <w:pPr>
        <w:pStyle w:val="Prrafodelista"/>
        <w:numPr>
          <w:ilvl w:val="0"/>
          <w:numId w:val="5"/>
        </w:numPr>
        <w:jc w:val="both"/>
        <w:rPr>
          <w:rFonts w:ascii="Arial Narrow" w:hAnsi="Arial Narrow" w:cs="Arial"/>
          <w:color w:val="000000"/>
        </w:rPr>
      </w:pPr>
      <w:r w:rsidRPr="00814EC1">
        <w:rPr>
          <w:rFonts w:ascii="Arial Narrow" w:hAnsi="Arial Narrow" w:cs="Arial"/>
          <w:color w:val="000000"/>
        </w:rPr>
        <w:lastRenderedPageBreak/>
        <w:t xml:space="preserve">Registro Nacional de Proveedores (RNP), emitido por la Dirección General de Contrataciones Públicas. </w:t>
      </w:r>
    </w:p>
    <w:p w:rsidR="00AE131B" w:rsidRPr="00814EC1" w:rsidRDefault="00AE131B" w:rsidP="00AE131B">
      <w:pPr>
        <w:pStyle w:val="Prrafodelista"/>
        <w:numPr>
          <w:ilvl w:val="0"/>
          <w:numId w:val="5"/>
        </w:numPr>
        <w:jc w:val="both"/>
        <w:rPr>
          <w:rFonts w:ascii="Arial Narrow" w:hAnsi="Arial Narrow" w:cs="Arial"/>
          <w:color w:val="000000"/>
        </w:rPr>
      </w:pPr>
      <w:r w:rsidRPr="00814EC1">
        <w:rPr>
          <w:rFonts w:ascii="Arial Narrow" w:hAnsi="Arial Narrow" w:cs="Arial"/>
          <w:color w:val="000000"/>
        </w:rPr>
        <w:t xml:space="preserve">Certificación emitida por la Dirección General de Impuestos Internos (DGII), donde se manifieste que el Oferente se encuentra al día en el pago de sus obligaciones fiscales. </w:t>
      </w:r>
    </w:p>
    <w:p w:rsidR="00AE131B" w:rsidRPr="00814EC1" w:rsidRDefault="00AE131B" w:rsidP="00AE131B">
      <w:pPr>
        <w:pStyle w:val="Prrafodelista"/>
        <w:numPr>
          <w:ilvl w:val="0"/>
          <w:numId w:val="5"/>
        </w:numPr>
        <w:jc w:val="both"/>
        <w:rPr>
          <w:rFonts w:ascii="Arial Narrow" w:hAnsi="Arial Narrow" w:cs="Arial"/>
          <w:color w:val="000000"/>
        </w:rPr>
      </w:pPr>
      <w:r w:rsidRPr="00814EC1">
        <w:rPr>
          <w:rFonts w:ascii="Arial Narrow" w:hAnsi="Arial Narrow" w:cs="Arial"/>
          <w:color w:val="000000"/>
        </w:rPr>
        <w:t>Certificación emitida por la Tesorería de la Seguridad Social, donde se manifieste que el Oferente se encuentra al día en el pago de sus obligaciones de la Seguridad Social.</w:t>
      </w:r>
    </w:p>
    <w:p w:rsidR="00AE131B" w:rsidRPr="00814EC1" w:rsidRDefault="00AE131B" w:rsidP="00AE131B">
      <w:pPr>
        <w:pStyle w:val="Prrafodelista"/>
        <w:numPr>
          <w:ilvl w:val="0"/>
          <w:numId w:val="5"/>
        </w:numPr>
        <w:jc w:val="both"/>
        <w:rPr>
          <w:rFonts w:ascii="Arial Narrow" w:hAnsi="Arial Narrow" w:cs="Arial"/>
          <w:color w:val="000000"/>
        </w:rPr>
      </w:pPr>
      <w:r w:rsidRPr="00814EC1">
        <w:rPr>
          <w:rFonts w:ascii="Arial Narrow" w:hAnsi="Arial Narrow" w:cs="Arial"/>
          <w:color w:val="000000"/>
        </w:rPr>
        <w:t xml:space="preserve">Declaración Jurada de No Conflicto con el Estado Dominicano en la que manifieste que no se encuentra dentro de las prohibiciones de esta. (SNCC.F.047). </w:t>
      </w:r>
    </w:p>
    <w:p w:rsidR="00AE131B" w:rsidRPr="00814EC1" w:rsidRDefault="00AE131B" w:rsidP="00AE131B">
      <w:pPr>
        <w:pStyle w:val="Prrafodelista"/>
        <w:numPr>
          <w:ilvl w:val="0"/>
          <w:numId w:val="5"/>
        </w:numPr>
        <w:jc w:val="both"/>
        <w:rPr>
          <w:rFonts w:ascii="Arial Narrow" w:hAnsi="Arial Narrow" w:cs="Arial"/>
          <w:color w:val="000000"/>
        </w:rPr>
      </w:pPr>
      <w:r w:rsidRPr="00814EC1">
        <w:rPr>
          <w:rFonts w:ascii="Arial Narrow" w:hAnsi="Arial Narrow" w:cs="Arial"/>
          <w:color w:val="000000"/>
        </w:rPr>
        <w:t>Formulario de Información sobre el Oferente (SNCC.F.042).</w:t>
      </w:r>
    </w:p>
    <w:p w:rsidR="00AE131B" w:rsidRPr="00814EC1" w:rsidRDefault="00AE131B" w:rsidP="00AE131B">
      <w:pPr>
        <w:pStyle w:val="Prrafodelista"/>
        <w:numPr>
          <w:ilvl w:val="0"/>
          <w:numId w:val="5"/>
        </w:numPr>
        <w:jc w:val="both"/>
        <w:rPr>
          <w:rFonts w:ascii="Arial Narrow" w:hAnsi="Arial Narrow" w:cs="Arial"/>
          <w:color w:val="000000"/>
        </w:rPr>
      </w:pPr>
      <w:r w:rsidRPr="00814EC1">
        <w:rPr>
          <w:rFonts w:ascii="Arial Narrow" w:hAnsi="Arial Narrow" w:cs="Arial"/>
          <w:color w:val="000000"/>
        </w:rPr>
        <w:t xml:space="preserve">Copia de Cédula de Identidad del Representante Legal. </w:t>
      </w:r>
    </w:p>
    <w:p w:rsidR="00AE131B" w:rsidRPr="00814EC1" w:rsidRDefault="00AE131B" w:rsidP="00AE131B">
      <w:pPr>
        <w:pStyle w:val="Prrafodelista"/>
        <w:numPr>
          <w:ilvl w:val="0"/>
          <w:numId w:val="5"/>
        </w:numPr>
        <w:jc w:val="both"/>
        <w:rPr>
          <w:rFonts w:ascii="Arial Narrow" w:hAnsi="Arial Narrow" w:cs="Arial"/>
          <w:color w:val="000000"/>
        </w:rPr>
      </w:pPr>
      <w:r w:rsidRPr="00814EC1">
        <w:rPr>
          <w:rFonts w:ascii="Arial Narrow" w:hAnsi="Arial Narrow" w:cs="Arial"/>
          <w:color w:val="000000"/>
        </w:rPr>
        <w:t xml:space="preserve">Copia de Estatutos Sociales registrados en la Cámara de Comercio y Producción que corresponda. </w:t>
      </w:r>
    </w:p>
    <w:p w:rsidR="00AE131B" w:rsidRPr="00814EC1" w:rsidRDefault="00AE131B" w:rsidP="00AE131B">
      <w:pPr>
        <w:pStyle w:val="Prrafodelista"/>
        <w:numPr>
          <w:ilvl w:val="0"/>
          <w:numId w:val="5"/>
        </w:numPr>
        <w:jc w:val="both"/>
        <w:rPr>
          <w:rFonts w:ascii="Arial Narrow" w:hAnsi="Arial Narrow" w:cs="Arial"/>
          <w:color w:val="000000"/>
        </w:rPr>
      </w:pPr>
      <w:r w:rsidRPr="00814EC1">
        <w:rPr>
          <w:rFonts w:ascii="Arial Narrow" w:hAnsi="Arial Narrow" w:cs="Arial"/>
          <w:color w:val="000000"/>
        </w:rPr>
        <w:t xml:space="preserve">Copia del Acta de la última Asamblea Ordinaria Anual, por la cual se nombre el actual Gerente o Consejo de Administración (registrada en la Cámara de Comercio y Producción que corresponda, y certificada conforme a su original por el Gerente de la Sociedad). </w:t>
      </w:r>
    </w:p>
    <w:p w:rsidR="00AE131B" w:rsidRPr="00B616AC" w:rsidRDefault="00AE131B" w:rsidP="00AE131B">
      <w:pPr>
        <w:ind w:left="709" w:hanging="1"/>
        <w:jc w:val="both"/>
        <w:rPr>
          <w:rFonts w:ascii="Arial Narrow" w:hAnsi="Arial Narrow" w:cs="Arial"/>
        </w:rPr>
      </w:pPr>
    </w:p>
    <w:p w:rsidR="00AE131B" w:rsidRPr="00B616AC" w:rsidRDefault="00AE131B" w:rsidP="00AE131B">
      <w:pPr>
        <w:pStyle w:val="Textoindependiente"/>
        <w:ind w:left="720"/>
        <w:rPr>
          <w:rFonts w:ascii="Arial Narrow" w:hAnsi="Arial Narrow" w:cs="Arial"/>
          <w:color w:val="auto"/>
        </w:rPr>
      </w:pPr>
    </w:p>
    <w:p w:rsidR="00AE131B" w:rsidRPr="00B616AC" w:rsidRDefault="00AE131B" w:rsidP="00AE131B">
      <w:pPr>
        <w:pStyle w:val="Textoindependiente"/>
        <w:numPr>
          <w:ilvl w:val="0"/>
          <w:numId w:val="4"/>
        </w:numPr>
        <w:rPr>
          <w:rFonts w:ascii="Arial Narrow" w:hAnsi="Arial Narrow" w:cs="Arial"/>
          <w:color w:val="auto"/>
        </w:rPr>
      </w:pPr>
      <w:r w:rsidRPr="00B616AC">
        <w:rPr>
          <w:rFonts w:ascii="Arial Narrow" w:hAnsi="Arial Narrow" w:cs="Arial"/>
          <w:color w:val="auto"/>
        </w:rPr>
        <w:t>Documentación Financiera:</w:t>
      </w:r>
    </w:p>
    <w:p w:rsidR="00AE131B" w:rsidRPr="00977845" w:rsidRDefault="00AE131B" w:rsidP="00AE131B">
      <w:pPr>
        <w:pStyle w:val="Prrafodelista"/>
        <w:numPr>
          <w:ilvl w:val="0"/>
          <w:numId w:val="7"/>
        </w:numPr>
        <w:jc w:val="both"/>
        <w:rPr>
          <w:rFonts w:ascii="Arial Narrow" w:hAnsi="Arial Narrow" w:cs="Arial"/>
          <w:color w:val="000000"/>
        </w:rPr>
      </w:pPr>
      <w:r w:rsidRPr="00814EC1">
        <w:rPr>
          <w:rFonts w:ascii="Arial Narrow" w:hAnsi="Arial Narrow" w:cs="Arial"/>
          <w:color w:val="000000"/>
        </w:rPr>
        <w:t>IR-2 de los últimos (2) Peri</w:t>
      </w:r>
      <w:r>
        <w:rPr>
          <w:rFonts w:ascii="Arial Narrow" w:hAnsi="Arial Narrow" w:cs="Arial"/>
          <w:color w:val="000000"/>
        </w:rPr>
        <w:t>odos Fiscales (2014, 2015</w:t>
      </w:r>
      <w:r w:rsidRPr="00814EC1">
        <w:rPr>
          <w:rFonts w:ascii="Arial Narrow" w:hAnsi="Arial Narrow" w:cs="Arial"/>
          <w:color w:val="000000"/>
        </w:rPr>
        <w:t>) y  sus estados financieros debidamente auditados por un CPA.</w:t>
      </w:r>
      <w:r>
        <w:rPr>
          <w:rFonts w:ascii="Arial Narrow" w:hAnsi="Arial Narrow" w:cs="Arial"/>
          <w:color w:val="000000"/>
        </w:rPr>
        <w:t xml:space="preserve"> </w:t>
      </w:r>
      <w:r w:rsidRPr="00814EC1">
        <w:rPr>
          <w:rFonts w:ascii="Arial Narrow" w:hAnsi="Arial Narrow" w:cs="Arial"/>
          <w:color w:val="000000"/>
        </w:rPr>
        <w:t>(no subsanable)</w:t>
      </w:r>
    </w:p>
    <w:p w:rsidR="00AE131B" w:rsidRDefault="00AE131B" w:rsidP="00AE131B">
      <w:pPr>
        <w:pStyle w:val="Prrafodelista"/>
        <w:numPr>
          <w:ilvl w:val="0"/>
          <w:numId w:val="7"/>
        </w:numPr>
        <w:jc w:val="both"/>
        <w:rPr>
          <w:rFonts w:ascii="Arial Narrow" w:hAnsi="Arial Narrow" w:cs="Arial"/>
          <w:color w:val="000000"/>
        </w:rPr>
      </w:pPr>
      <w:r w:rsidRPr="00977845">
        <w:rPr>
          <w:rFonts w:ascii="Arial Narrow" w:hAnsi="Arial Narrow" w:cs="Arial"/>
          <w:color w:val="000000"/>
        </w:rPr>
        <w:t xml:space="preserve">Línea de Crédito Bancaria </w:t>
      </w:r>
      <w:r>
        <w:rPr>
          <w:rFonts w:ascii="Arial Narrow" w:hAnsi="Arial Narrow" w:cs="Arial"/>
          <w:color w:val="000000"/>
        </w:rPr>
        <w:t>en una reconocida entidad Bancaria del País:</w:t>
      </w:r>
    </w:p>
    <w:p w:rsidR="00AE131B" w:rsidRPr="00AE131B" w:rsidRDefault="00AE131B" w:rsidP="00AE131B">
      <w:pPr>
        <w:pStyle w:val="Prrafodelista"/>
        <w:ind w:left="1080"/>
        <w:jc w:val="both"/>
        <w:rPr>
          <w:rFonts w:ascii="Arial Narrow" w:hAnsi="Arial Narrow" w:cs="Arial"/>
          <w:color w:val="000000"/>
          <w:highlight w:val="yellow"/>
        </w:rPr>
      </w:pPr>
      <w:r w:rsidRPr="00AE131B">
        <w:rPr>
          <w:rFonts w:ascii="Arial Narrow" w:hAnsi="Arial Narrow" w:cs="Arial"/>
          <w:color w:val="000000"/>
          <w:highlight w:val="yellow"/>
        </w:rPr>
        <w:t>Lote 1 mínimo disponible de Diez Millones (RD$10</w:t>
      </w:r>
      <w:proofErr w:type="gramStart"/>
      <w:r w:rsidRPr="00AE131B">
        <w:rPr>
          <w:rFonts w:ascii="Arial Narrow" w:hAnsi="Arial Narrow" w:cs="Arial"/>
          <w:color w:val="000000"/>
          <w:highlight w:val="yellow"/>
        </w:rPr>
        <w:t>,000,000.00</w:t>
      </w:r>
      <w:proofErr w:type="gramEnd"/>
      <w:r w:rsidRPr="00AE131B">
        <w:rPr>
          <w:rFonts w:ascii="Arial Narrow" w:hAnsi="Arial Narrow" w:cs="Arial"/>
          <w:color w:val="000000"/>
          <w:highlight w:val="yellow"/>
        </w:rPr>
        <w:t>)</w:t>
      </w:r>
    </w:p>
    <w:p w:rsidR="00AE131B" w:rsidRPr="00977845" w:rsidRDefault="00AE131B" w:rsidP="00AE131B">
      <w:pPr>
        <w:pStyle w:val="Prrafodelista"/>
        <w:ind w:left="1080"/>
        <w:jc w:val="both"/>
        <w:rPr>
          <w:rFonts w:ascii="Arial Narrow" w:hAnsi="Arial Narrow" w:cs="Arial"/>
          <w:color w:val="000000"/>
        </w:rPr>
      </w:pPr>
      <w:r w:rsidRPr="00AE131B">
        <w:rPr>
          <w:rFonts w:ascii="Arial Narrow" w:hAnsi="Arial Narrow" w:cs="Arial"/>
          <w:color w:val="000000"/>
          <w:highlight w:val="yellow"/>
        </w:rPr>
        <w:t>Lote 2 y 3 mínimo disponible de Cinco Millones (RD$ 5</w:t>
      </w:r>
      <w:proofErr w:type="gramStart"/>
      <w:r w:rsidRPr="00AE131B">
        <w:rPr>
          <w:rFonts w:ascii="Arial Narrow" w:hAnsi="Arial Narrow" w:cs="Arial"/>
          <w:color w:val="000000"/>
          <w:highlight w:val="yellow"/>
        </w:rPr>
        <w:t>,000,000.00</w:t>
      </w:r>
      <w:proofErr w:type="gramEnd"/>
      <w:r w:rsidRPr="00AE131B">
        <w:rPr>
          <w:rFonts w:ascii="Arial Narrow" w:hAnsi="Arial Narrow" w:cs="Arial"/>
          <w:color w:val="000000"/>
          <w:highlight w:val="yellow"/>
        </w:rPr>
        <w:t>)</w:t>
      </w:r>
    </w:p>
    <w:p w:rsidR="00AE131B" w:rsidRPr="00814EC1" w:rsidRDefault="00AE131B" w:rsidP="00AE131B">
      <w:pPr>
        <w:rPr>
          <w:rFonts w:ascii="Arial Narrow" w:hAnsi="Arial Narrow" w:cs="Arial"/>
          <w:color w:val="000000"/>
        </w:rPr>
      </w:pPr>
    </w:p>
    <w:p w:rsidR="00AE131B" w:rsidRPr="00814EC1" w:rsidRDefault="00AE131B" w:rsidP="00AE131B">
      <w:pPr>
        <w:pStyle w:val="Textoindependiente"/>
        <w:numPr>
          <w:ilvl w:val="0"/>
          <w:numId w:val="4"/>
        </w:numPr>
        <w:rPr>
          <w:rFonts w:ascii="Arial Narrow" w:hAnsi="Arial Narrow" w:cs="Arial"/>
        </w:rPr>
      </w:pPr>
      <w:r w:rsidRPr="00814EC1">
        <w:rPr>
          <w:rFonts w:ascii="Arial Narrow" w:hAnsi="Arial Narrow" w:cs="Arial"/>
        </w:rPr>
        <w:t>Documentación Técnica:</w:t>
      </w:r>
    </w:p>
    <w:p w:rsidR="00AE131B" w:rsidRPr="00814EC1" w:rsidRDefault="00AE131B" w:rsidP="00AE131B">
      <w:pPr>
        <w:pStyle w:val="Prrafodelista"/>
        <w:jc w:val="both"/>
        <w:rPr>
          <w:rFonts w:ascii="Arial Narrow" w:hAnsi="Arial Narrow" w:cs="Arial"/>
          <w:color w:val="000000"/>
        </w:rPr>
      </w:pPr>
    </w:p>
    <w:p w:rsidR="00AE131B" w:rsidRDefault="00AE131B" w:rsidP="00AE131B">
      <w:pPr>
        <w:pStyle w:val="Prrafodelista"/>
        <w:numPr>
          <w:ilvl w:val="0"/>
          <w:numId w:val="7"/>
        </w:numPr>
        <w:jc w:val="both"/>
        <w:rPr>
          <w:rFonts w:ascii="Arial Narrow" w:hAnsi="Arial Narrow" w:cs="Arial"/>
          <w:color w:val="000000"/>
        </w:rPr>
      </w:pPr>
      <w:r w:rsidRPr="00814EC1">
        <w:rPr>
          <w:rFonts w:ascii="Arial Narrow" w:hAnsi="Arial Narrow" w:cs="Arial"/>
          <w:color w:val="000000"/>
        </w:rPr>
        <w:t>Certificación del Fabricante, debidamente legalizada por un notario del país del producto, donde certifique que son fabricantes del producto. (no subsanable)</w:t>
      </w:r>
    </w:p>
    <w:p w:rsidR="00AE131B" w:rsidRDefault="00AE131B" w:rsidP="00AE131B">
      <w:pPr>
        <w:pStyle w:val="Prrafodelista"/>
        <w:numPr>
          <w:ilvl w:val="0"/>
          <w:numId w:val="7"/>
        </w:numPr>
        <w:jc w:val="both"/>
        <w:rPr>
          <w:rFonts w:ascii="Arial Narrow" w:hAnsi="Arial Narrow" w:cs="Arial"/>
          <w:color w:val="000000"/>
        </w:rPr>
      </w:pPr>
      <w:r w:rsidRPr="00814EC1">
        <w:rPr>
          <w:rFonts w:ascii="Arial Narrow" w:hAnsi="Arial Narrow" w:cs="Arial"/>
          <w:color w:val="000000"/>
        </w:rPr>
        <w:t>Formulario Autorización del Fabricante, en los casos de que los bienes no sean fabricados por el Oferente, si procede. (SNCC.F.047). (no subsanable)</w:t>
      </w:r>
    </w:p>
    <w:p w:rsidR="00AE131B" w:rsidRPr="00F36B4F" w:rsidRDefault="00AE131B" w:rsidP="00AE131B">
      <w:pPr>
        <w:pStyle w:val="Prrafodelista"/>
        <w:numPr>
          <w:ilvl w:val="0"/>
          <w:numId w:val="7"/>
        </w:numPr>
        <w:jc w:val="both"/>
        <w:rPr>
          <w:rFonts w:ascii="Arial Narrow" w:hAnsi="Arial Narrow" w:cs="Arial"/>
          <w:color w:val="000000"/>
        </w:rPr>
      </w:pPr>
      <w:r w:rsidRPr="00814EC1">
        <w:rPr>
          <w:rFonts w:ascii="Arial Narrow" w:hAnsi="Arial Narrow" w:cs="Arial"/>
          <w:color w:val="000000"/>
        </w:rPr>
        <w:t xml:space="preserve">Certificado de Análisis, donde estén expresadas las especificaciones técnicas del producto. Dicho certificado deberá de ser emitido por un Laboratorio externo del país de origen de los productos y que no tenga ninguna vinculación con el fabricante del producto. Este no podrá tener una fecha anterior </w:t>
      </w:r>
      <w:r w:rsidRPr="00F36B4F">
        <w:rPr>
          <w:rFonts w:ascii="Arial Narrow" w:hAnsi="Arial Narrow" w:cs="Arial"/>
          <w:color w:val="000000"/>
        </w:rPr>
        <w:t>a la fecha de la primera Publicación llamado a participar en la licitación indicada en el Cronograma de licitación de la Sección II Acápite 2.5 del presente Pliego de Condiciones Específicas. (no subsanable)</w:t>
      </w:r>
    </w:p>
    <w:p w:rsidR="00AE131B" w:rsidRDefault="00AE131B" w:rsidP="00AE131B">
      <w:pPr>
        <w:pStyle w:val="Prrafodelista"/>
        <w:ind w:left="1080"/>
        <w:jc w:val="both"/>
        <w:rPr>
          <w:rFonts w:ascii="Arial Narrow" w:hAnsi="Arial Narrow" w:cs="Arial"/>
          <w:color w:val="000000"/>
        </w:rPr>
      </w:pPr>
    </w:p>
    <w:p w:rsidR="00AE131B" w:rsidRPr="00F36B4F" w:rsidRDefault="00AE131B" w:rsidP="00AE131B">
      <w:pPr>
        <w:pStyle w:val="Prrafodelista"/>
        <w:ind w:left="1080"/>
        <w:jc w:val="both"/>
        <w:rPr>
          <w:rFonts w:ascii="Arial Narrow" w:hAnsi="Arial Narrow" w:cs="Arial"/>
          <w:color w:val="000000"/>
        </w:rPr>
      </w:pPr>
      <w:r w:rsidRPr="00F36B4F">
        <w:rPr>
          <w:rFonts w:ascii="Arial Narrow" w:hAnsi="Arial Narrow" w:cs="Arial"/>
          <w:color w:val="000000"/>
        </w:rPr>
        <w:t>Nota: Para que el Certificado de Análisis sea declarado como válido y poder evaluarlo, se deberá de incluir una certificación o constancia emitida por un organismo público del país de origen del producto,  que conste que dicho Laboratorio externo este certificado  actualmente para emitir dicho certificado. (</w:t>
      </w:r>
      <w:proofErr w:type="gramStart"/>
      <w:r w:rsidRPr="00F36B4F">
        <w:rPr>
          <w:rFonts w:ascii="Arial Narrow" w:hAnsi="Arial Narrow" w:cs="Arial"/>
          <w:color w:val="000000"/>
        </w:rPr>
        <w:t>no</w:t>
      </w:r>
      <w:proofErr w:type="gramEnd"/>
      <w:r w:rsidRPr="00F36B4F">
        <w:rPr>
          <w:rFonts w:ascii="Arial Narrow" w:hAnsi="Arial Narrow" w:cs="Arial"/>
          <w:color w:val="000000"/>
        </w:rPr>
        <w:t xml:space="preserve"> subsanable)</w:t>
      </w:r>
    </w:p>
    <w:p w:rsidR="00AE131B" w:rsidRPr="00814EC1" w:rsidRDefault="00AE131B" w:rsidP="00AE131B">
      <w:pPr>
        <w:pStyle w:val="Prrafodelista"/>
        <w:ind w:left="1080"/>
        <w:jc w:val="both"/>
        <w:rPr>
          <w:rFonts w:ascii="Arial Narrow" w:hAnsi="Arial Narrow" w:cs="Arial"/>
          <w:color w:val="000000"/>
        </w:rPr>
      </w:pPr>
    </w:p>
    <w:p w:rsidR="00AE131B" w:rsidRPr="00814EC1" w:rsidRDefault="00AE131B" w:rsidP="00AE131B">
      <w:pPr>
        <w:pStyle w:val="Prrafodelista"/>
        <w:numPr>
          <w:ilvl w:val="0"/>
          <w:numId w:val="7"/>
        </w:numPr>
        <w:jc w:val="both"/>
        <w:rPr>
          <w:rFonts w:ascii="Arial Narrow" w:hAnsi="Arial Narrow" w:cs="Arial"/>
          <w:color w:val="000000"/>
        </w:rPr>
      </w:pPr>
      <w:r w:rsidRPr="00814EC1">
        <w:rPr>
          <w:rFonts w:ascii="Arial Narrow" w:hAnsi="Arial Narrow" w:cs="Arial"/>
          <w:color w:val="000000"/>
        </w:rPr>
        <w:t>Documentos que puedan demostrar la disponibilidad del producto. (no subsanable)</w:t>
      </w:r>
    </w:p>
    <w:p w:rsidR="00AE131B" w:rsidRPr="00814EC1" w:rsidRDefault="00AE131B" w:rsidP="00AE131B">
      <w:pPr>
        <w:pStyle w:val="Prrafodelista"/>
        <w:ind w:left="1080"/>
        <w:jc w:val="both"/>
        <w:rPr>
          <w:rFonts w:ascii="Arial Narrow" w:hAnsi="Arial Narrow" w:cs="Arial"/>
          <w:color w:val="000000"/>
        </w:rPr>
      </w:pPr>
    </w:p>
    <w:p w:rsidR="00AE131B" w:rsidRDefault="00AE131B" w:rsidP="00AE131B">
      <w:pPr>
        <w:pStyle w:val="Prrafodelista"/>
        <w:ind w:left="1080"/>
        <w:jc w:val="both"/>
        <w:rPr>
          <w:rFonts w:ascii="Arial Narrow" w:hAnsi="Arial Narrow" w:cs="Arial"/>
        </w:rPr>
      </w:pPr>
      <w:r w:rsidRPr="00814EC1">
        <w:rPr>
          <w:rFonts w:ascii="Arial Narrow" w:hAnsi="Arial Narrow" w:cs="Arial"/>
          <w:color w:val="000000"/>
        </w:rPr>
        <w:t xml:space="preserve">Nota: Los Oferentes deberán expresar la disponibilidad del producto para la primera </w:t>
      </w:r>
      <w:r w:rsidRPr="00814EC1">
        <w:rPr>
          <w:rFonts w:ascii="Arial Narrow" w:hAnsi="Arial Narrow" w:cs="Arial"/>
        </w:rPr>
        <w:t xml:space="preserve">entrega requerida, según el cronograma de entrega.  En cualquiera de los siguientes </w:t>
      </w:r>
      <w:r w:rsidRPr="00814EC1">
        <w:rPr>
          <w:rFonts w:ascii="Arial Narrow" w:hAnsi="Arial Narrow" w:cs="Arial"/>
        </w:rPr>
        <w:lastRenderedPageBreak/>
        <w:t xml:space="preserve">casos o en ambos: estos podrán estar en el almacén del </w:t>
      </w:r>
      <w:r w:rsidRPr="00F36B4F">
        <w:rPr>
          <w:rFonts w:ascii="Arial Narrow" w:hAnsi="Arial Narrow" w:cs="Arial"/>
        </w:rPr>
        <w:t xml:space="preserve">Oferente  (Con una fecha no anterior al 01 de Junio del 2016, y deberán de presentar sus documentos de importación para su verificación y/o en caso de expresarse mediante Bill of </w:t>
      </w:r>
      <w:proofErr w:type="spellStart"/>
      <w:r w:rsidRPr="00F36B4F">
        <w:rPr>
          <w:rFonts w:ascii="Arial Narrow" w:hAnsi="Arial Narrow" w:cs="Arial"/>
        </w:rPr>
        <w:t>Lading</w:t>
      </w:r>
      <w:proofErr w:type="spellEnd"/>
      <w:r w:rsidRPr="00F36B4F">
        <w:rPr>
          <w:rFonts w:ascii="Arial Narrow" w:hAnsi="Arial Narrow" w:cs="Arial"/>
        </w:rPr>
        <w:t>, no podrá tener fecha anterior al 01 de Junio del 2016. En</w:t>
      </w:r>
      <w:r w:rsidRPr="00814EC1">
        <w:rPr>
          <w:rFonts w:ascii="Arial Narrow" w:hAnsi="Arial Narrow" w:cs="Arial"/>
        </w:rPr>
        <w:t xml:space="preserve"> los dos casos, el producto deberá ser de la procedencia del Fabricante, así mismo todos los documentos de embarque presentados (Bill of </w:t>
      </w:r>
      <w:proofErr w:type="spellStart"/>
      <w:r w:rsidRPr="00814EC1">
        <w:rPr>
          <w:rFonts w:ascii="Arial Narrow" w:hAnsi="Arial Narrow" w:cs="Arial"/>
        </w:rPr>
        <w:t>Lading</w:t>
      </w:r>
      <w:proofErr w:type="spellEnd"/>
      <w:r w:rsidRPr="00814EC1">
        <w:rPr>
          <w:rFonts w:ascii="Arial Narrow" w:hAnsi="Arial Narrow" w:cs="Arial"/>
        </w:rPr>
        <w:t>) tienen que totalizar la cantidad de Kilogramos requerido para la primera entrega.  (</w:t>
      </w:r>
      <w:proofErr w:type="gramStart"/>
      <w:r w:rsidRPr="00814EC1">
        <w:rPr>
          <w:rFonts w:ascii="Arial Narrow" w:hAnsi="Arial Narrow" w:cs="Arial"/>
        </w:rPr>
        <w:t>no</w:t>
      </w:r>
      <w:proofErr w:type="gramEnd"/>
      <w:r w:rsidRPr="00814EC1">
        <w:rPr>
          <w:rFonts w:ascii="Arial Narrow" w:hAnsi="Arial Narrow" w:cs="Arial"/>
        </w:rPr>
        <w:t xml:space="preserve"> subsanable)</w:t>
      </w:r>
    </w:p>
    <w:p w:rsidR="00AE131B" w:rsidRDefault="00AE131B" w:rsidP="00AE131B">
      <w:pPr>
        <w:pStyle w:val="Prrafodelista"/>
        <w:ind w:left="1080"/>
        <w:jc w:val="both"/>
        <w:rPr>
          <w:rFonts w:ascii="Arial Narrow" w:hAnsi="Arial Narrow" w:cs="Arial"/>
        </w:rPr>
      </w:pPr>
    </w:p>
    <w:p w:rsidR="00AE131B" w:rsidRDefault="00AE131B" w:rsidP="00AE131B">
      <w:pPr>
        <w:pStyle w:val="Prrafodelista"/>
        <w:ind w:left="1080"/>
        <w:jc w:val="both"/>
        <w:rPr>
          <w:rFonts w:ascii="Arial Narrow" w:hAnsi="Arial Narrow" w:cs="Arial"/>
        </w:rPr>
      </w:pPr>
      <w:r w:rsidRPr="00A41712">
        <w:rPr>
          <w:rFonts w:ascii="Arial Narrow" w:hAnsi="Arial Narrow" w:cs="Arial"/>
        </w:rPr>
        <w:t>Para los  productos líquidos de los lote</w:t>
      </w:r>
      <w:r>
        <w:rPr>
          <w:rFonts w:ascii="Arial Narrow" w:hAnsi="Arial Narrow" w:cs="Arial"/>
        </w:rPr>
        <w:t>s</w:t>
      </w:r>
      <w:r w:rsidRPr="00A41712">
        <w:rPr>
          <w:rFonts w:ascii="Arial Narrow" w:hAnsi="Arial Narrow" w:cs="Arial"/>
        </w:rPr>
        <w:t xml:space="preserve"> 2 y 3 el oferente deberá suministrar contrato,</w:t>
      </w:r>
      <w:r>
        <w:rPr>
          <w:rFonts w:ascii="Arial Narrow" w:hAnsi="Arial Narrow" w:cs="Arial"/>
        </w:rPr>
        <w:t xml:space="preserve"> orden de compras o documentos de compra y venta con el fabricante del producto, debidamente notariado, que avale la disponibilidad del mismo en un periodo no mayor de 3 meses ya que se prevé el suministro luego de haber realizado las instalaciones de los equipos requeridos.</w:t>
      </w:r>
    </w:p>
    <w:p w:rsidR="00AE131B" w:rsidRPr="00BC556D" w:rsidRDefault="00AE131B" w:rsidP="00AE131B">
      <w:pPr>
        <w:pStyle w:val="Prrafodelista"/>
        <w:ind w:left="1080"/>
        <w:jc w:val="both"/>
        <w:rPr>
          <w:rFonts w:ascii="Arial Narrow" w:hAnsi="Arial Narrow" w:cs="Arial"/>
        </w:rPr>
      </w:pPr>
    </w:p>
    <w:p w:rsidR="00AE131B" w:rsidRPr="00814EC1" w:rsidRDefault="00AE131B" w:rsidP="00AE131B">
      <w:pPr>
        <w:pStyle w:val="Prrafodelista"/>
        <w:numPr>
          <w:ilvl w:val="0"/>
          <w:numId w:val="7"/>
        </w:numPr>
        <w:jc w:val="both"/>
        <w:rPr>
          <w:rFonts w:ascii="Arial Narrow" w:hAnsi="Arial Narrow" w:cs="Arial"/>
        </w:rPr>
      </w:pPr>
      <w:r w:rsidRPr="00814EC1">
        <w:rPr>
          <w:rFonts w:ascii="Arial Narrow" w:hAnsi="Arial Narrow" w:cs="Arial"/>
        </w:rPr>
        <w:t>Nota: La CAASD podrá verificar las informaciones de existencia, disponibilidad  y documentaciones de los Oferentes, mediante visitas en los almacenes y mediante confirmaciones por parte de las Líneas Navieras.</w:t>
      </w:r>
    </w:p>
    <w:p w:rsidR="00AE131B" w:rsidRPr="00814EC1" w:rsidRDefault="00AE131B" w:rsidP="00AE131B">
      <w:pPr>
        <w:pStyle w:val="Prrafodelista"/>
        <w:rPr>
          <w:rFonts w:ascii="Arial Narrow" w:hAnsi="Arial Narrow" w:cs="Arial"/>
        </w:rPr>
      </w:pPr>
    </w:p>
    <w:p w:rsidR="00AE131B" w:rsidRPr="00814EC1" w:rsidRDefault="00AE131B" w:rsidP="00AE131B">
      <w:pPr>
        <w:pStyle w:val="Prrafodelista"/>
        <w:numPr>
          <w:ilvl w:val="0"/>
          <w:numId w:val="7"/>
        </w:numPr>
        <w:jc w:val="both"/>
        <w:rPr>
          <w:rFonts w:ascii="Arial Narrow" w:hAnsi="Arial Narrow" w:cs="Arial"/>
        </w:rPr>
      </w:pPr>
      <w:r w:rsidRPr="00814EC1">
        <w:rPr>
          <w:rFonts w:ascii="Arial Narrow" w:hAnsi="Arial Narrow" w:cs="Arial"/>
        </w:rPr>
        <w:t>Historial de Cumplimiento Copia de Contratos</w:t>
      </w:r>
      <w:r>
        <w:rPr>
          <w:rFonts w:ascii="Arial Narrow" w:hAnsi="Arial Narrow" w:cs="Arial"/>
        </w:rPr>
        <w:t xml:space="preserve"> en los últimos años</w:t>
      </w:r>
      <w:r w:rsidRPr="00814EC1">
        <w:rPr>
          <w:rFonts w:ascii="Arial Narrow" w:hAnsi="Arial Narrow" w:cs="Arial"/>
        </w:rPr>
        <w:t>, en territorio  nacional, similares con el objeto de la presente Licitación y sus montos, para la provisión de los productos citados en el acápite 2.8, en instituciones estatales.  En caso de que sean privadas, deberán de presentar órdenes de compras, junto con las facturas comerciales recibidas con NCF que confirmen dichas órdenes con sus montos.</w:t>
      </w:r>
    </w:p>
    <w:p w:rsidR="00AE131B" w:rsidRPr="006F4D3D" w:rsidRDefault="00AE131B" w:rsidP="00AE131B">
      <w:pPr>
        <w:jc w:val="both"/>
        <w:rPr>
          <w:rFonts w:ascii="Arial Narrow" w:hAnsi="Arial Narrow" w:cs="Arial"/>
          <w:b/>
          <w:color w:val="990000"/>
        </w:rPr>
      </w:pPr>
    </w:p>
    <w:p w:rsidR="00AE131B" w:rsidRPr="006F4D3D" w:rsidRDefault="00AE131B" w:rsidP="00AE131B">
      <w:pPr>
        <w:ind w:firstLine="708"/>
        <w:jc w:val="both"/>
        <w:rPr>
          <w:rFonts w:ascii="Arial Narrow" w:hAnsi="Arial Narrow" w:cs="Arial"/>
          <w:b/>
        </w:rPr>
      </w:pPr>
      <w:r w:rsidRPr="006F4D3D">
        <w:rPr>
          <w:rFonts w:ascii="Arial Narrow" w:hAnsi="Arial Narrow" w:cs="Arial"/>
          <w:b/>
        </w:rPr>
        <w:t xml:space="preserve">Para los consorcios: </w:t>
      </w:r>
    </w:p>
    <w:p w:rsidR="00AE131B" w:rsidRPr="006F4D3D" w:rsidRDefault="00AE131B" w:rsidP="00AE131B">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AE131B" w:rsidRDefault="00AE131B" w:rsidP="00AE131B">
      <w:pPr>
        <w:numPr>
          <w:ilvl w:val="0"/>
          <w:numId w:val="6"/>
        </w:numPr>
        <w:jc w:val="both"/>
        <w:rPr>
          <w:rFonts w:ascii="Arial Narrow" w:hAnsi="Arial Narrow" w:cs="Arial"/>
        </w:rPr>
      </w:pPr>
      <w:r w:rsidRPr="006F4D3D">
        <w:rPr>
          <w:rFonts w:ascii="Arial Narrow" w:hAnsi="Arial Narrow" w:cs="Arial"/>
        </w:rPr>
        <w:t>Original del Acto Notarial por el cual se formaliza el consorcio, incluyendo su objeto, las obligaciones de las partes, su duración la capacidad de ejercicio de cada miembro del con</w:t>
      </w:r>
      <w:r>
        <w:rPr>
          <w:rFonts w:ascii="Arial Narrow" w:hAnsi="Arial Narrow" w:cs="Arial"/>
        </w:rPr>
        <w:t>sorcio, así como sus generales.</w:t>
      </w:r>
    </w:p>
    <w:p w:rsidR="00AE131B" w:rsidRPr="00814EC1" w:rsidRDefault="00AE131B" w:rsidP="00AE131B">
      <w:pPr>
        <w:numPr>
          <w:ilvl w:val="0"/>
          <w:numId w:val="6"/>
        </w:numPr>
        <w:jc w:val="both"/>
        <w:rPr>
          <w:rFonts w:ascii="Arial Narrow" w:hAnsi="Arial Narrow" w:cs="Arial"/>
        </w:rPr>
      </w:pPr>
      <w:r>
        <w:rPr>
          <w:rFonts w:ascii="Arial Narrow" w:hAnsi="Arial Narrow" w:cs="Arial"/>
        </w:rPr>
        <w:t>D</w:t>
      </w:r>
      <w:r w:rsidRPr="00814EC1">
        <w:rPr>
          <w:rFonts w:ascii="Arial Narrow" w:hAnsi="Arial Narrow" w:cs="Arial"/>
        </w:rPr>
        <w:t>e</w:t>
      </w:r>
      <w:r>
        <w:rPr>
          <w:rFonts w:ascii="Arial Narrow" w:hAnsi="Arial Narrow" w:cs="Arial"/>
        </w:rPr>
        <w:t>be</w:t>
      </w:r>
      <w:r w:rsidRPr="00814EC1">
        <w:rPr>
          <w:rFonts w:ascii="Arial Narrow" w:hAnsi="Arial Narrow" w:cs="Arial"/>
        </w:rPr>
        <w:t>rán indicar también en dicha comunicación lo siguiente:</w:t>
      </w:r>
    </w:p>
    <w:p w:rsidR="00AE131B" w:rsidRPr="00814EC1" w:rsidRDefault="00AE131B" w:rsidP="00AE131B">
      <w:pPr>
        <w:pStyle w:val="Prrafodelista"/>
        <w:ind w:left="1190"/>
        <w:jc w:val="both"/>
        <w:rPr>
          <w:rFonts w:ascii="Arial Narrow" w:hAnsi="Arial Narrow" w:cs="Arial"/>
        </w:rPr>
      </w:pPr>
      <w:r w:rsidRPr="00814EC1">
        <w:rPr>
          <w:rFonts w:ascii="Arial Narrow" w:hAnsi="Arial Narrow" w:cs="Arial"/>
        </w:rPr>
        <w:t>a)</w:t>
      </w:r>
      <w:r w:rsidRPr="00814EC1">
        <w:rPr>
          <w:rFonts w:ascii="Arial Narrow" w:hAnsi="Arial Narrow" w:cs="Arial"/>
        </w:rPr>
        <w:tab/>
        <w:t>Las empresas que forman el consorcio;</w:t>
      </w:r>
    </w:p>
    <w:p w:rsidR="00AE131B" w:rsidRPr="00814EC1" w:rsidRDefault="00AE131B" w:rsidP="00AE131B">
      <w:pPr>
        <w:pStyle w:val="Prrafodelista"/>
        <w:ind w:left="1190"/>
        <w:jc w:val="both"/>
        <w:rPr>
          <w:rFonts w:ascii="Arial Narrow" w:hAnsi="Arial Narrow" w:cs="Arial"/>
        </w:rPr>
      </w:pPr>
      <w:r w:rsidRPr="00814EC1">
        <w:rPr>
          <w:rFonts w:ascii="Arial Narrow" w:hAnsi="Arial Narrow" w:cs="Arial"/>
        </w:rPr>
        <w:t>b)</w:t>
      </w:r>
      <w:r w:rsidRPr="00814EC1">
        <w:rPr>
          <w:rFonts w:ascii="Arial Narrow" w:hAnsi="Arial Narrow" w:cs="Arial"/>
        </w:rPr>
        <w:tab/>
        <w:t>Las razones de complementariedad que justifican la asociación;</w:t>
      </w:r>
    </w:p>
    <w:p w:rsidR="00AE131B" w:rsidRPr="00814EC1" w:rsidRDefault="00AE131B" w:rsidP="00AE131B">
      <w:pPr>
        <w:pStyle w:val="Prrafodelista"/>
        <w:ind w:left="1190"/>
        <w:jc w:val="both"/>
        <w:rPr>
          <w:rFonts w:ascii="Arial Narrow" w:hAnsi="Arial Narrow" w:cs="Arial"/>
        </w:rPr>
      </w:pPr>
      <w:r w:rsidRPr="00814EC1">
        <w:rPr>
          <w:rFonts w:ascii="Arial Narrow" w:hAnsi="Arial Narrow" w:cs="Arial"/>
        </w:rPr>
        <w:t>c)</w:t>
      </w:r>
      <w:r w:rsidRPr="00814EC1">
        <w:rPr>
          <w:rFonts w:ascii="Arial Narrow" w:hAnsi="Arial Narrow" w:cs="Arial"/>
        </w:rPr>
        <w:tab/>
        <w:t>La designación de la empresa técnicamente responsable; y</w:t>
      </w:r>
    </w:p>
    <w:p w:rsidR="00AE131B" w:rsidRPr="00814EC1" w:rsidRDefault="00AE131B" w:rsidP="00AE131B">
      <w:pPr>
        <w:pStyle w:val="Prrafodelista"/>
        <w:ind w:left="1190"/>
        <w:jc w:val="both"/>
        <w:rPr>
          <w:rFonts w:ascii="Arial Narrow" w:hAnsi="Arial Narrow" w:cs="Arial"/>
        </w:rPr>
      </w:pPr>
      <w:r w:rsidRPr="00814EC1">
        <w:rPr>
          <w:rFonts w:ascii="Arial Narrow" w:hAnsi="Arial Narrow" w:cs="Arial"/>
        </w:rPr>
        <w:t>d)</w:t>
      </w:r>
      <w:r>
        <w:rPr>
          <w:rFonts w:ascii="Arial Narrow" w:hAnsi="Arial Narrow" w:cs="Arial"/>
        </w:rPr>
        <w:t xml:space="preserve"> </w:t>
      </w:r>
      <w:r w:rsidRPr="00814EC1">
        <w:rPr>
          <w:rFonts w:ascii="Arial Narrow" w:hAnsi="Arial Narrow" w:cs="Arial"/>
        </w:rPr>
        <w:t>El compromiso de no modificar los términos del documento de asociación hasta la finalización del contrato.</w:t>
      </w:r>
    </w:p>
    <w:p w:rsidR="00AE131B" w:rsidRPr="00814EC1" w:rsidRDefault="00AE131B" w:rsidP="00AE131B">
      <w:pPr>
        <w:pStyle w:val="Prrafodelista"/>
        <w:ind w:left="1190"/>
        <w:jc w:val="both"/>
        <w:rPr>
          <w:rFonts w:ascii="Arial Narrow" w:hAnsi="Arial Narrow" w:cs="Arial"/>
        </w:rPr>
      </w:pPr>
    </w:p>
    <w:p w:rsidR="00AE131B" w:rsidRPr="00814EC1" w:rsidRDefault="00AE131B" w:rsidP="00AE131B">
      <w:pPr>
        <w:pStyle w:val="Prrafodelista"/>
        <w:ind w:left="1190"/>
        <w:jc w:val="both"/>
        <w:rPr>
          <w:rFonts w:ascii="Arial Narrow" w:hAnsi="Arial Narrow" w:cs="Arial"/>
        </w:rPr>
      </w:pPr>
      <w:r w:rsidRPr="00814EC1">
        <w:rPr>
          <w:rFonts w:ascii="Arial Narrow" w:hAnsi="Arial Narrow" w:cs="Arial"/>
        </w:rPr>
        <w:t>PARRAFO: Si el Proveedor se constituye como una asociación en participación, consorcio o asociación, todas las partes que lo conformen deberán ser mancomunada y solidariamente responsables frente a la Entidad Contratante, por el cumplimiento de las disposiciones del contrato. Dichas partes deberán, además, designar a una de ellas para que actúe como representante, con autoridad para comprometer a la asociación en participación, consorcio o asociación. La composición o constitución de la asociación en participación, consorcio o asociación no deberá modificarse sin el consentimiento escrito y previo de esta Oficina.</w:t>
      </w:r>
    </w:p>
    <w:p w:rsidR="00AE131B" w:rsidRPr="006F4D3D" w:rsidRDefault="00AE131B" w:rsidP="00AE131B">
      <w:pPr>
        <w:ind w:left="1190"/>
        <w:jc w:val="both"/>
        <w:rPr>
          <w:rFonts w:ascii="Arial Narrow" w:hAnsi="Arial Narrow" w:cs="Arial"/>
        </w:rPr>
      </w:pPr>
    </w:p>
    <w:p w:rsidR="00AE131B" w:rsidRPr="006F4D3D" w:rsidRDefault="00AE131B" w:rsidP="00AE131B">
      <w:pPr>
        <w:numPr>
          <w:ilvl w:val="0"/>
          <w:numId w:val="6"/>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AE131B" w:rsidRDefault="00AE131B"/>
    <w:p w:rsidR="00820D48" w:rsidRDefault="00820D48"/>
    <w:p w:rsidR="00820D48" w:rsidRDefault="00820D48" w:rsidP="00820D48">
      <w:pPr>
        <w:pStyle w:val="Ttulo3"/>
      </w:pPr>
      <w:r>
        <w:t xml:space="preserve">Se modifica el acápite 2.16  </w:t>
      </w:r>
      <w:r w:rsidRPr="006F4D3D">
        <w:t>Presentación de la Documentación Contenida en el  “Sobre B”</w:t>
      </w:r>
      <w:r>
        <w:t>para que en lo adelante se lea:</w:t>
      </w:r>
    </w:p>
    <w:p w:rsidR="00AE131B" w:rsidRDefault="00AE131B"/>
    <w:p w:rsidR="00AE131B" w:rsidRPr="006F4D3D" w:rsidRDefault="00AE131B" w:rsidP="00820D48">
      <w:pPr>
        <w:pStyle w:val="Ttulo3"/>
        <w:numPr>
          <w:ilvl w:val="0"/>
          <w:numId w:val="0"/>
        </w:numPr>
        <w:ind w:left="720"/>
      </w:pPr>
      <w:bookmarkStart w:id="7" w:name="_Toc410128610"/>
      <w:r>
        <w:t>2.16</w:t>
      </w:r>
      <w:r w:rsidRPr="006F4D3D">
        <w:t xml:space="preserve"> Presentación de la Documentación Contenida en el  “Sobre B”</w:t>
      </w:r>
      <w:bookmarkEnd w:id="7"/>
    </w:p>
    <w:p w:rsidR="00AE131B" w:rsidRPr="00161AC3" w:rsidRDefault="00AE131B" w:rsidP="00AE131B">
      <w:pPr>
        <w:rPr>
          <w:rFonts w:ascii="Arial Narrow" w:hAnsi="Arial Narrow" w:cs="Arial"/>
        </w:rPr>
      </w:pPr>
    </w:p>
    <w:p w:rsidR="00AE131B" w:rsidRPr="00814EC1" w:rsidRDefault="00AE131B" w:rsidP="00AE131B">
      <w:pPr>
        <w:pStyle w:val="Prrafodelista"/>
        <w:numPr>
          <w:ilvl w:val="0"/>
          <w:numId w:val="3"/>
        </w:numPr>
        <w:jc w:val="both"/>
        <w:rPr>
          <w:rFonts w:ascii="Arial Narrow" w:hAnsi="Arial Narrow" w:cs="Arial"/>
        </w:rPr>
      </w:pPr>
      <w:r w:rsidRPr="00814EC1">
        <w:rPr>
          <w:rFonts w:ascii="Arial Narrow" w:hAnsi="Arial Narrow" w:cs="Arial"/>
        </w:rPr>
        <w:t xml:space="preserve">Formulario de Presentación de Oferta Económica (SNCC.F.33), presentado en Un (1) original debidamente marcado como “ORIGINAL” en la primera página de la Oferta, junto con Tres (3) fotocopias simples de la misma, debidamente marcadas, en su primera página, como “COPIA”. El original y las copias deberán estar firmados en todas las páginas por el Representante Legal,  debidamente foliadas y deberán llevar el sello social de la compañía. </w:t>
      </w:r>
    </w:p>
    <w:p w:rsidR="00AE131B" w:rsidRPr="00814EC1" w:rsidRDefault="00AE131B" w:rsidP="00AE131B">
      <w:pPr>
        <w:jc w:val="both"/>
        <w:rPr>
          <w:rFonts w:ascii="Arial Narrow" w:hAnsi="Arial Narrow" w:cs="Arial"/>
        </w:rPr>
      </w:pPr>
    </w:p>
    <w:p w:rsidR="00AE131B" w:rsidRPr="00814EC1" w:rsidRDefault="00AE131B" w:rsidP="00AE131B">
      <w:pPr>
        <w:pStyle w:val="Prrafodelista"/>
        <w:numPr>
          <w:ilvl w:val="0"/>
          <w:numId w:val="3"/>
        </w:numPr>
        <w:jc w:val="both"/>
        <w:rPr>
          <w:rFonts w:ascii="Arial Narrow" w:hAnsi="Arial Narrow" w:cs="Arial"/>
        </w:rPr>
      </w:pPr>
      <w:r w:rsidRPr="00814EC1">
        <w:rPr>
          <w:rFonts w:ascii="Arial Narrow" w:hAnsi="Arial Narrow" w:cs="Arial"/>
        </w:rPr>
        <w:t xml:space="preserve">Garantía de la Seriedad de la Oferta.  Correspondiente a </w:t>
      </w:r>
      <w:r>
        <w:rPr>
          <w:rFonts w:ascii="Arial Narrow" w:hAnsi="Arial Narrow" w:cs="Arial"/>
        </w:rPr>
        <w:t>Garantía Bancaria por valor</w:t>
      </w:r>
      <w:r w:rsidRPr="00814EC1">
        <w:rPr>
          <w:rFonts w:ascii="Arial Narrow" w:hAnsi="Arial Narrow" w:cs="Arial"/>
        </w:rPr>
        <w:t xml:space="preserve"> del 1% del valor total de su Oferta Econó</w:t>
      </w:r>
      <w:r>
        <w:rPr>
          <w:rFonts w:ascii="Arial Narrow" w:hAnsi="Arial Narrow" w:cs="Arial"/>
        </w:rPr>
        <w:t xml:space="preserve">mica, con vigencia de </w:t>
      </w:r>
      <w:r w:rsidRPr="00AE131B">
        <w:rPr>
          <w:rFonts w:ascii="Arial Narrow" w:hAnsi="Arial Narrow" w:cs="Arial"/>
          <w:highlight w:val="yellow"/>
        </w:rPr>
        <w:t>Treinta (30)</w:t>
      </w:r>
      <w:r w:rsidRPr="00814EC1">
        <w:rPr>
          <w:rFonts w:ascii="Arial Narrow" w:hAnsi="Arial Narrow" w:cs="Arial"/>
        </w:rPr>
        <w:t xml:space="preserve"> días hábiles contados a partir de la apertura de las ofertas.</w:t>
      </w:r>
    </w:p>
    <w:p w:rsidR="00AE131B" w:rsidRDefault="00AE131B" w:rsidP="00AE131B">
      <w:pPr>
        <w:rPr>
          <w:rFonts w:ascii="Arial Narrow" w:hAnsi="Arial Narrow" w:cs="Arial"/>
        </w:rPr>
      </w:pPr>
    </w:p>
    <w:p w:rsidR="00AE131B" w:rsidRPr="00B616AC" w:rsidRDefault="00AE131B" w:rsidP="00AE131B">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E131B" w:rsidRPr="003714DF" w:rsidRDefault="00AE131B" w:rsidP="00AE131B">
      <w:pPr>
        <w:pStyle w:val="Textoindependiente"/>
        <w:rPr>
          <w:rFonts w:ascii="Arial Narrow" w:hAnsi="Arial Narrow" w:cs="Arial"/>
          <w:color w:val="auto"/>
        </w:rPr>
      </w:pPr>
    </w:p>
    <w:p w:rsidR="00AE131B" w:rsidRPr="00C571BC" w:rsidRDefault="00AE131B" w:rsidP="00AE131B">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AE131B" w:rsidRPr="006F4D3D" w:rsidRDefault="00AE131B" w:rsidP="00AE131B">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E131B" w:rsidRPr="006F4D3D" w:rsidRDefault="00AE131B" w:rsidP="00AE131B">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AE131B" w:rsidRPr="006F4D3D" w:rsidRDefault="00AE131B" w:rsidP="00AE131B">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AE131B" w:rsidRPr="006F4D3D" w:rsidRDefault="00AE131B" w:rsidP="00AE131B">
      <w:pPr>
        <w:pStyle w:val="Textoindependiente"/>
        <w:rPr>
          <w:rFonts w:ascii="Arial Narrow" w:hAnsi="Arial Narrow" w:cs="Arial"/>
          <w:color w:val="auto"/>
        </w:rPr>
      </w:pPr>
      <w:r w:rsidRPr="006F4D3D">
        <w:rPr>
          <w:rFonts w:ascii="Arial Narrow" w:hAnsi="Arial Narrow" w:cs="Arial"/>
          <w:color w:val="auto"/>
        </w:rPr>
        <w:t xml:space="preserve">                              </w:t>
      </w:r>
      <w:r w:rsidRPr="006F4D3D">
        <w:rPr>
          <w:rFonts w:ascii="Arial Narrow" w:hAnsi="Arial Narrow" w:cs="Arial"/>
          <w:color w:val="auto"/>
        </w:rPr>
        <w:tab/>
      </w:r>
      <w:r w:rsidRPr="006F4D3D">
        <w:rPr>
          <w:rFonts w:ascii="Arial Narrow" w:hAnsi="Arial Narrow" w:cs="Arial"/>
          <w:color w:val="auto"/>
        </w:rPr>
        <w:tab/>
      </w:r>
      <w:r>
        <w:rPr>
          <w:rFonts w:ascii="Arial Narrow" w:hAnsi="Arial Narrow" w:cs="Arial"/>
          <w:b/>
          <w:color w:val="990000"/>
        </w:rPr>
        <w:t>Corporación del Acueducto y Alcantarillado de Santo Domingo</w:t>
      </w:r>
    </w:p>
    <w:p w:rsidR="00AE131B" w:rsidRPr="006F4D3D" w:rsidRDefault="00AE131B" w:rsidP="00AE131B">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Pr="006F4D3D">
        <w:rPr>
          <w:rFonts w:ascii="Arial Narrow" w:hAnsi="Arial Narrow" w:cs="Arial"/>
          <w:b/>
          <w:color w:val="auto"/>
        </w:rPr>
        <w:t>OFERTA ECONÓMICA</w:t>
      </w:r>
    </w:p>
    <w:p w:rsidR="00AE131B" w:rsidRPr="006F4D3D" w:rsidRDefault="00AE131B" w:rsidP="00AE131B">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Pr="006F4D3D">
        <w:rPr>
          <w:rFonts w:ascii="Arial Narrow" w:hAnsi="Arial Narrow" w:cs="Arial"/>
          <w:color w:val="auto"/>
          <w:lang w:val="es-ES_tradnl"/>
        </w:rPr>
        <w:tab/>
        <w:t xml:space="preserve">       </w:t>
      </w:r>
      <w:r>
        <w:rPr>
          <w:rFonts w:ascii="Arial Narrow" w:hAnsi="Arial Narrow" w:cs="Arial"/>
          <w:b/>
        </w:rPr>
        <w:t>CAASD-UR-001-2016</w:t>
      </w:r>
      <w:r w:rsidRPr="00B616AC">
        <w:rPr>
          <w:rFonts w:ascii="Arial Narrow" w:hAnsi="Arial Narrow" w:cs="Arial"/>
        </w:rPr>
        <w:t xml:space="preserve"> </w:t>
      </w:r>
      <w:r w:rsidRPr="006F4D3D">
        <w:rPr>
          <w:rStyle w:val="Refdenotaalpie"/>
          <w:rFonts w:ascii="Arial Narrow" w:hAnsi="Arial Narrow" w:cs="Arial"/>
          <w:b/>
          <w:lang w:val="es-ES"/>
        </w:rPr>
        <w:footnoteReference w:id="1"/>
      </w:r>
    </w:p>
    <w:p w:rsidR="00AE131B" w:rsidRPr="00B616AC" w:rsidRDefault="00AE131B" w:rsidP="00AE131B">
      <w:pPr>
        <w:pStyle w:val="Textoindependiente"/>
        <w:rPr>
          <w:rFonts w:ascii="Arial Narrow" w:hAnsi="Arial Narrow" w:cs="Arial"/>
          <w:color w:val="auto"/>
        </w:rPr>
      </w:pPr>
    </w:p>
    <w:p w:rsidR="00AE131B" w:rsidRPr="006F4D3D" w:rsidRDefault="00AE131B" w:rsidP="00AE131B">
      <w:pPr>
        <w:pStyle w:val="Textoindependiente"/>
        <w:rPr>
          <w:rFonts w:ascii="Arial Narrow" w:hAnsi="Arial Narrow" w:cs="Arial"/>
          <w:color w:val="auto"/>
        </w:rPr>
      </w:pPr>
      <w:r w:rsidRPr="00B616AC">
        <w:rPr>
          <w:rFonts w:ascii="Arial Narrow" w:hAnsi="Arial Narrow" w:cs="Arial"/>
        </w:rPr>
        <w:t xml:space="preserve">Las Ofertas deberán ser presentadas únicas y exclusivamente en el formulario designado al efecto, </w:t>
      </w:r>
      <w:r w:rsidRPr="00B616AC">
        <w:rPr>
          <w:rFonts w:ascii="Arial Narrow" w:hAnsi="Arial Narrow" w:cs="Arial"/>
          <w:b/>
          <w:color w:val="800000"/>
        </w:rPr>
        <w:t>(SNCC.F.033</w:t>
      </w:r>
      <w:r w:rsidRPr="003714DF">
        <w:rPr>
          <w:rFonts w:ascii="Arial Narrow" w:hAnsi="Arial Narrow" w:cs="Arial"/>
          <w:b/>
          <w:color w:val="800000"/>
        </w:rPr>
        <w:t>)</w:t>
      </w:r>
      <w:r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AE131B" w:rsidRPr="006F4D3D" w:rsidRDefault="00AE131B" w:rsidP="00AE131B">
      <w:pPr>
        <w:jc w:val="both"/>
        <w:rPr>
          <w:rFonts w:ascii="Arial Narrow" w:hAnsi="Arial Narrow" w:cs="Arial"/>
        </w:rPr>
      </w:pPr>
    </w:p>
    <w:p w:rsidR="00AE131B" w:rsidRPr="006F4D3D" w:rsidRDefault="00AE131B" w:rsidP="00AE131B">
      <w:pPr>
        <w:jc w:val="both"/>
        <w:rPr>
          <w:rFonts w:ascii="Arial Narrow" w:hAnsi="Arial Narrow" w:cs="Arial"/>
        </w:rPr>
      </w:pPr>
      <w:r w:rsidRPr="006F4D3D">
        <w:rPr>
          <w:rFonts w:ascii="Arial Narrow" w:hAnsi="Arial Narrow" w:cs="Arial"/>
        </w:rPr>
        <w:t>La Oferta Económica deberá presentarse en Pesos Dominicanos (RD$)</w:t>
      </w:r>
      <w:r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AE131B" w:rsidRPr="006F4D3D" w:rsidRDefault="00AE131B" w:rsidP="00AE131B">
      <w:pPr>
        <w:jc w:val="both"/>
        <w:rPr>
          <w:rFonts w:ascii="Arial Narrow" w:hAnsi="Arial Narrow" w:cs="Arial"/>
        </w:rPr>
      </w:pPr>
    </w:p>
    <w:p w:rsidR="00AE131B" w:rsidRPr="006F4D3D" w:rsidRDefault="00AE131B" w:rsidP="00AE131B">
      <w:pPr>
        <w:jc w:val="both"/>
        <w:rPr>
          <w:rFonts w:ascii="Arial Narrow" w:hAnsi="Arial Narrow" w:cs="Arial"/>
        </w:rPr>
      </w:pPr>
      <w:r>
        <w:rPr>
          <w:rFonts w:ascii="Arial Narrow" w:hAnsi="Arial Narrow" w:cs="Arial"/>
        </w:rPr>
        <w:t xml:space="preserve">La CAASD solo cubrirá los costos por concepto de: Impuestos aduanales (ITBIS, Arancel y Tasa de Servicio Aduanero), por lo que el oferente deberá endosar los Bill of </w:t>
      </w:r>
      <w:proofErr w:type="spellStart"/>
      <w:r>
        <w:rPr>
          <w:rFonts w:ascii="Arial Narrow" w:hAnsi="Arial Narrow" w:cs="Arial"/>
        </w:rPr>
        <w:t>Lading</w:t>
      </w:r>
      <w:proofErr w:type="spellEnd"/>
      <w:r>
        <w:rPr>
          <w:rFonts w:ascii="Arial Narrow" w:hAnsi="Arial Narrow" w:cs="Arial"/>
        </w:rPr>
        <w:t xml:space="preserve"> a la Corporación del Acueducto y Alcantarillado de Santo Domingo (CAASD) para tramitar la solicitud de exoneración de dichos impuestos a través del Ministerio de Hacienda.</w:t>
      </w:r>
      <w:r w:rsidRPr="006F4D3D">
        <w:rPr>
          <w:rFonts w:ascii="Arial Narrow" w:hAnsi="Arial Narrow" w:cs="Arial"/>
        </w:rPr>
        <w:t xml:space="preserve"> </w:t>
      </w:r>
    </w:p>
    <w:p w:rsidR="00AE131B" w:rsidRDefault="00AE131B" w:rsidP="00AE131B">
      <w:pPr>
        <w:jc w:val="both"/>
        <w:rPr>
          <w:rFonts w:ascii="Arial Narrow" w:hAnsi="Arial Narrow" w:cs="Arial"/>
        </w:rPr>
      </w:pPr>
    </w:p>
    <w:p w:rsidR="00AE131B" w:rsidRDefault="00AE131B" w:rsidP="00AE131B">
      <w:pPr>
        <w:jc w:val="both"/>
        <w:rPr>
          <w:rFonts w:ascii="Arial Narrow" w:hAnsi="Arial Narrow" w:cs="Arial"/>
        </w:rPr>
      </w:pPr>
      <w:r>
        <w:rPr>
          <w:rFonts w:ascii="Arial Narrow" w:hAnsi="Arial Narrow" w:cs="Arial"/>
        </w:rPr>
        <w:t xml:space="preserve">El oferente deberá expresar el precio de la oferta en Costo Seguro y Flete (CIF), Puerto </w:t>
      </w:r>
      <w:proofErr w:type="spellStart"/>
      <w:r>
        <w:rPr>
          <w:rFonts w:ascii="Arial Narrow" w:hAnsi="Arial Narrow" w:cs="Arial"/>
        </w:rPr>
        <w:t>Caucedo</w:t>
      </w:r>
      <w:proofErr w:type="spellEnd"/>
      <w:r>
        <w:rPr>
          <w:rFonts w:ascii="Arial Narrow" w:hAnsi="Arial Narrow" w:cs="Arial"/>
        </w:rPr>
        <w:t xml:space="preserve"> o Rio Haina  tendrá que cubrir los costos, gastos y cobros de las Navieras por concepto de: Terminal </w:t>
      </w:r>
      <w:proofErr w:type="spellStart"/>
      <w:r>
        <w:rPr>
          <w:rFonts w:ascii="Arial Narrow" w:hAnsi="Arial Narrow" w:cs="Arial"/>
        </w:rPr>
        <w:t>Handling</w:t>
      </w:r>
      <w:proofErr w:type="spellEnd"/>
      <w:r>
        <w:rPr>
          <w:rFonts w:ascii="Arial Narrow" w:hAnsi="Arial Narrow" w:cs="Arial"/>
        </w:rPr>
        <w:t xml:space="preserve"> </w:t>
      </w:r>
      <w:proofErr w:type="spellStart"/>
      <w:r>
        <w:rPr>
          <w:rFonts w:ascii="Arial Narrow" w:hAnsi="Arial Narrow" w:cs="Arial"/>
        </w:rPr>
        <w:t>Charges</w:t>
      </w:r>
      <w:proofErr w:type="spellEnd"/>
      <w:r>
        <w:rPr>
          <w:rFonts w:ascii="Arial Narrow" w:hAnsi="Arial Narrow" w:cs="Arial"/>
        </w:rPr>
        <w:t xml:space="preserve"> (THC), Impresión de Bill of </w:t>
      </w:r>
      <w:proofErr w:type="spellStart"/>
      <w:r>
        <w:rPr>
          <w:rFonts w:ascii="Arial Narrow" w:hAnsi="Arial Narrow" w:cs="Arial"/>
        </w:rPr>
        <w:t>Lading</w:t>
      </w:r>
      <w:proofErr w:type="spellEnd"/>
      <w:r>
        <w:rPr>
          <w:rFonts w:ascii="Arial Narrow" w:hAnsi="Arial Narrow" w:cs="Arial"/>
        </w:rPr>
        <w:t xml:space="preserve"> e inclusive cualquier otro costo cobrado por Despachos Portuarios </w:t>
      </w:r>
      <w:proofErr w:type="spellStart"/>
      <w:r>
        <w:rPr>
          <w:rFonts w:ascii="Arial Narrow" w:hAnsi="Arial Narrow" w:cs="Arial"/>
        </w:rPr>
        <w:t>Hispaniola</w:t>
      </w:r>
      <w:proofErr w:type="spellEnd"/>
      <w:r>
        <w:rPr>
          <w:rFonts w:ascii="Arial Narrow" w:hAnsi="Arial Narrow" w:cs="Arial"/>
        </w:rPr>
        <w:t xml:space="preserve">, S.A.S ( por uso de chasis, contenedores y moras de los mismos), </w:t>
      </w:r>
      <w:r>
        <w:rPr>
          <w:rFonts w:ascii="Arial Narrow" w:hAnsi="Arial Narrow" w:cs="Arial"/>
        </w:rPr>
        <w:lastRenderedPageBreak/>
        <w:t xml:space="preserve">por Zona Franca Multimodal </w:t>
      </w:r>
      <w:proofErr w:type="spellStart"/>
      <w:r>
        <w:rPr>
          <w:rFonts w:ascii="Arial Narrow" w:hAnsi="Arial Narrow" w:cs="Arial"/>
        </w:rPr>
        <w:t>Caucedo</w:t>
      </w:r>
      <w:proofErr w:type="spellEnd"/>
      <w:r>
        <w:rPr>
          <w:rFonts w:ascii="Arial Narrow" w:hAnsi="Arial Narrow" w:cs="Arial"/>
        </w:rPr>
        <w:t>, Por Haina International Terminal y por Autoridad Portuaria e inclusive cualquier otro costo cobrado por concepto de Fletes de Importación, así como también el transporte terrestre y las descargas.</w:t>
      </w:r>
    </w:p>
    <w:p w:rsidR="00AE131B" w:rsidRPr="006F4D3D" w:rsidRDefault="00AE131B" w:rsidP="00AE131B">
      <w:pPr>
        <w:jc w:val="both"/>
        <w:rPr>
          <w:rFonts w:ascii="Arial Narrow" w:hAnsi="Arial Narrow" w:cs="Arial"/>
        </w:rPr>
      </w:pPr>
    </w:p>
    <w:p w:rsidR="00AE131B" w:rsidRPr="006F4D3D" w:rsidRDefault="00AE131B" w:rsidP="00AE131B">
      <w:pPr>
        <w:jc w:val="both"/>
        <w:rPr>
          <w:rFonts w:ascii="Arial Narrow" w:hAnsi="Arial Narrow" w:cs="Arial"/>
        </w:rPr>
      </w:pPr>
      <w:r w:rsidRPr="006F4D3D">
        <w:rPr>
          <w:rFonts w:ascii="Arial Narrow" w:hAnsi="Arial Narrow" w:cs="Arial"/>
        </w:rPr>
        <w:t>El Oferente/Proponente que coti</w:t>
      </w:r>
      <w:r>
        <w:rPr>
          <w:rFonts w:ascii="Arial Narrow" w:hAnsi="Arial Narrow" w:cs="Arial"/>
        </w:rPr>
        <w:t>c</w:t>
      </w:r>
      <w:r w:rsidRPr="006F4D3D">
        <w:rPr>
          <w:rFonts w:ascii="Arial Narrow" w:hAnsi="Arial Narrow" w:cs="Arial"/>
        </w:rPr>
        <w:t xml:space="preserve">e en cualquier moneda distinta al Peso Dominicano (RD$), </w:t>
      </w:r>
      <w:r w:rsidRPr="006F4D3D">
        <w:rPr>
          <w:rFonts w:ascii="Arial Narrow" w:hAnsi="Arial Narrow" w:cs="Arial"/>
          <w:b/>
          <w:u w:val="single"/>
        </w:rPr>
        <w:t>se auto-descalifica para ser adjudicatario</w:t>
      </w:r>
      <w:proofErr w:type="gramStart"/>
      <w:r w:rsidRPr="006F4D3D">
        <w:rPr>
          <w:rFonts w:ascii="Arial Narrow" w:hAnsi="Arial Narrow" w:cs="Arial"/>
          <w:b/>
          <w:u w:val="single"/>
        </w:rPr>
        <w:t>.</w:t>
      </w:r>
      <w:r w:rsidRPr="006F4D3D">
        <w:rPr>
          <w:rFonts w:ascii="Arial Narrow" w:hAnsi="Arial Narrow" w:cs="Arial"/>
        </w:rPr>
        <w:t>.</w:t>
      </w:r>
      <w:proofErr w:type="gramEnd"/>
    </w:p>
    <w:p w:rsidR="00AE131B" w:rsidRPr="006F4D3D" w:rsidRDefault="00AE131B" w:rsidP="00AE131B">
      <w:pPr>
        <w:jc w:val="both"/>
        <w:rPr>
          <w:rFonts w:ascii="Arial Narrow" w:hAnsi="Arial Narrow" w:cs="Arial"/>
        </w:rPr>
      </w:pPr>
    </w:p>
    <w:p w:rsidR="00AE131B" w:rsidRPr="006F4D3D" w:rsidRDefault="00AE131B" w:rsidP="00AE131B">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Pr>
          <w:rFonts w:ascii="Arial Narrow" w:hAnsi="Arial Narrow" w:cs="Arial"/>
          <w:b/>
          <w:color w:val="800000"/>
        </w:rPr>
        <w:t xml:space="preserve">la Corporación del Acueducto y Alcantarillado de Santo Domingo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AE131B" w:rsidRPr="006F4D3D" w:rsidRDefault="00AE131B" w:rsidP="00AE131B">
      <w:pPr>
        <w:jc w:val="both"/>
        <w:rPr>
          <w:rFonts w:ascii="Arial Narrow" w:hAnsi="Arial Narrow" w:cs="Arial"/>
        </w:rPr>
      </w:pPr>
    </w:p>
    <w:p w:rsidR="00AE131B" w:rsidRPr="006F4D3D" w:rsidRDefault="00AE131B" w:rsidP="00AE131B">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Pr>
          <w:rFonts w:ascii="Arial Narrow" w:hAnsi="Arial Narrow" w:cs="Arial"/>
          <w:b/>
          <w:color w:val="800000"/>
        </w:rPr>
        <w:t xml:space="preserve">la Corporación del Acueducto y Alcantarillado de Santo Domingo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E131B" w:rsidRPr="006F4D3D" w:rsidRDefault="00AE131B" w:rsidP="00AE131B">
      <w:pPr>
        <w:jc w:val="both"/>
        <w:rPr>
          <w:rFonts w:ascii="Arial Narrow" w:hAnsi="Arial Narrow" w:cs="Arial"/>
        </w:rPr>
      </w:pPr>
    </w:p>
    <w:p w:rsidR="00AE131B" w:rsidRPr="006F4D3D" w:rsidRDefault="00AE131B" w:rsidP="00AE131B">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AE131B" w:rsidRPr="006F4D3D" w:rsidRDefault="00AE131B" w:rsidP="00AE131B">
      <w:pPr>
        <w:jc w:val="both"/>
        <w:rPr>
          <w:rFonts w:ascii="Arial Narrow" w:hAnsi="Arial Narrow" w:cs="Arial"/>
        </w:rPr>
      </w:pPr>
    </w:p>
    <w:p w:rsidR="00AE131B" w:rsidRPr="006F4D3D" w:rsidRDefault="00AE131B" w:rsidP="00AE131B">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deberán ser dados en la unidad de medida establecida en el Formulario de Oferta Económica.</w:t>
      </w:r>
    </w:p>
    <w:p w:rsidR="00AE131B" w:rsidRPr="006F4D3D" w:rsidRDefault="00AE131B" w:rsidP="00AE131B">
      <w:pPr>
        <w:jc w:val="both"/>
        <w:rPr>
          <w:rFonts w:ascii="Arial Narrow" w:hAnsi="Arial Narrow" w:cs="Arial"/>
        </w:rPr>
      </w:pPr>
    </w:p>
    <w:p w:rsidR="00AE131B" w:rsidRPr="006F4D3D" w:rsidRDefault="00AE131B" w:rsidP="00AE131B">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solo se tomará en cuenta la cotización  únicamente de lo evaluado CONFORME en el proceso de evaluación técnica.</w:t>
      </w:r>
    </w:p>
    <w:p w:rsidR="00AE131B" w:rsidRPr="006F4D3D" w:rsidRDefault="00AE131B" w:rsidP="00AE131B">
      <w:pPr>
        <w:jc w:val="both"/>
        <w:rPr>
          <w:rFonts w:ascii="Arial Narrow" w:hAnsi="Arial Narrow" w:cs="Arial"/>
        </w:rPr>
      </w:pPr>
    </w:p>
    <w:p w:rsidR="00AE131B" w:rsidRPr="006F4D3D" w:rsidRDefault="00AE131B" w:rsidP="00AE131B">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AE131B" w:rsidRDefault="00AE131B"/>
    <w:p w:rsidR="002207EF" w:rsidRDefault="002207EF"/>
    <w:sectPr w:rsidR="002207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9AF" w:rsidRDefault="00A859AF" w:rsidP="00AE131B">
      <w:r>
        <w:separator/>
      </w:r>
    </w:p>
  </w:endnote>
  <w:endnote w:type="continuationSeparator" w:id="0">
    <w:p w:rsidR="00A859AF" w:rsidRDefault="00A859AF" w:rsidP="00AE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9AF" w:rsidRDefault="00A859AF" w:rsidP="00AE131B">
      <w:r>
        <w:separator/>
      </w:r>
    </w:p>
  </w:footnote>
  <w:footnote w:type="continuationSeparator" w:id="0">
    <w:p w:rsidR="00A859AF" w:rsidRDefault="00A859AF" w:rsidP="00AE131B">
      <w:r>
        <w:continuationSeparator/>
      </w:r>
    </w:p>
  </w:footnote>
  <w:footnote w:id="1">
    <w:p w:rsidR="00AE131B" w:rsidRPr="003841C8" w:rsidRDefault="00AE131B" w:rsidP="00AE131B">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53E"/>
    <w:multiLevelType w:val="hybridMultilevel"/>
    <w:tmpl w:val="8D94CD5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0C636EEF"/>
    <w:multiLevelType w:val="hybridMultilevel"/>
    <w:tmpl w:val="1AE64FC8"/>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16CA6793"/>
    <w:multiLevelType w:val="hybridMultilevel"/>
    <w:tmpl w:val="10CCB630"/>
    <w:lvl w:ilvl="0" w:tplc="A478425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5">
    <w:nsid w:val="402B7341"/>
    <w:multiLevelType w:val="multilevel"/>
    <w:tmpl w:val="BADAF40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33D1848"/>
    <w:multiLevelType w:val="hybridMultilevel"/>
    <w:tmpl w:val="6038A2DC"/>
    <w:lvl w:ilvl="0" w:tplc="CB844430">
      <w:start w:val="1"/>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7">
    <w:nsid w:val="5D7F0EBE"/>
    <w:multiLevelType w:val="hybridMultilevel"/>
    <w:tmpl w:val="FBA6C3F6"/>
    <w:lvl w:ilvl="0" w:tplc="5EFC56D2">
      <w:start w:val="1"/>
      <w:numFmt w:val="decimal"/>
      <w:pStyle w:val="Ttulo3"/>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num w:numId="1">
    <w:abstractNumId w:val="1"/>
  </w:num>
  <w:num w:numId="2">
    <w:abstractNumId w:val="5"/>
  </w:num>
  <w:num w:numId="3">
    <w:abstractNumId w:val="3"/>
  </w:num>
  <w:num w:numId="4">
    <w:abstractNumId w:val="2"/>
  </w:num>
  <w:num w:numId="5">
    <w:abstractNumId w:val="8"/>
  </w:num>
  <w:num w:numId="6">
    <w:abstractNumId w:val="4"/>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3E"/>
    <w:rsid w:val="001575F5"/>
    <w:rsid w:val="0018633E"/>
    <w:rsid w:val="002207EF"/>
    <w:rsid w:val="003B6265"/>
    <w:rsid w:val="004653C1"/>
    <w:rsid w:val="00472DB5"/>
    <w:rsid w:val="00820D48"/>
    <w:rsid w:val="00961CF2"/>
    <w:rsid w:val="00A859AF"/>
    <w:rsid w:val="00AE131B"/>
    <w:rsid w:val="00B07813"/>
    <w:rsid w:val="00BF755B"/>
    <w:rsid w:val="00EC506E"/>
    <w:rsid w:val="00F77D9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1B"/>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820D48"/>
    <w:pPr>
      <w:keepNext/>
      <w:numPr>
        <w:numId w:val="8"/>
      </w:numPr>
      <w:tabs>
        <w:tab w:val="left" w:pos="7920"/>
        <w:tab w:val="left" w:pos="9895"/>
      </w:tabs>
      <w:autoSpaceDE w:val="0"/>
      <w:autoSpaceDN w:val="0"/>
      <w:adjustRightInd w:val="0"/>
      <w:jc w:val="both"/>
      <w:outlineLvl w:val="2"/>
    </w:pPr>
    <w:rPr>
      <w:rFonts w:ascii="Arial Narrow" w:hAnsi="Arial Narrow"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20D48"/>
    <w:rPr>
      <w:rFonts w:ascii="Arial Narrow" w:eastAsia="Times New Roman" w:hAnsi="Arial Narrow" w:cs="Arial"/>
      <w:b/>
      <w:bCs/>
      <w:sz w:val="24"/>
      <w:szCs w:val="24"/>
      <w:lang w:val="es-ES" w:eastAsia="es-ES"/>
    </w:rPr>
  </w:style>
  <w:style w:type="paragraph" w:styleId="Textoindependiente">
    <w:name w:val="Body Text"/>
    <w:basedOn w:val="Normal"/>
    <w:link w:val="TextoindependienteCar"/>
    <w:rsid w:val="00AE131B"/>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AE131B"/>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E131B"/>
    <w:pPr>
      <w:ind w:left="720"/>
    </w:pPr>
  </w:style>
  <w:style w:type="paragraph" w:styleId="Textonotapie">
    <w:name w:val="footnote text"/>
    <w:basedOn w:val="Normal"/>
    <w:link w:val="TextonotapieCar"/>
    <w:rsid w:val="00AE131B"/>
    <w:rPr>
      <w:sz w:val="20"/>
      <w:szCs w:val="20"/>
    </w:rPr>
  </w:style>
  <w:style w:type="character" w:customStyle="1" w:styleId="TextonotapieCar">
    <w:name w:val="Texto nota pie Car"/>
    <w:basedOn w:val="Fuentedeprrafopredeter"/>
    <w:link w:val="Textonotapie"/>
    <w:rsid w:val="00AE131B"/>
    <w:rPr>
      <w:rFonts w:ascii="Times New Roman" w:eastAsia="Times New Roman" w:hAnsi="Times New Roman" w:cs="Times New Roman"/>
      <w:sz w:val="20"/>
      <w:szCs w:val="20"/>
      <w:lang w:eastAsia="es-ES"/>
    </w:rPr>
  </w:style>
  <w:style w:type="character" w:styleId="Refdenotaalpie">
    <w:name w:val="footnote reference"/>
    <w:basedOn w:val="Fuentedeprrafopredeter"/>
    <w:rsid w:val="00AE131B"/>
    <w:rPr>
      <w:vertAlign w:val="superscript"/>
    </w:rPr>
  </w:style>
  <w:style w:type="paragraph" w:styleId="Textodeglobo">
    <w:name w:val="Balloon Text"/>
    <w:basedOn w:val="Normal"/>
    <w:link w:val="TextodegloboCar"/>
    <w:uiPriority w:val="99"/>
    <w:semiHidden/>
    <w:unhideWhenUsed/>
    <w:rsid w:val="00820D4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D48"/>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1B"/>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820D48"/>
    <w:pPr>
      <w:keepNext/>
      <w:numPr>
        <w:numId w:val="8"/>
      </w:numPr>
      <w:tabs>
        <w:tab w:val="left" w:pos="7920"/>
        <w:tab w:val="left" w:pos="9895"/>
      </w:tabs>
      <w:autoSpaceDE w:val="0"/>
      <w:autoSpaceDN w:val="0"/>
      <w:adjustRightInd w:val="0"/>
      <w:jc w:val="both"/>
      <w:outlineLvl w:val="2"/>
    </w:pPr>
    <w:rPr>
      <w:rFonts w:ascii="Arial Narrow" w:hAnsi="Arial Narrow"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20D48"/>
    <w:rPr>
      <w:rFonts w:ascii="Arial Narrow" w:eastAsia="Times New Roman" w:hAnsi="Arial Narrow" w:cs="Arial"/>
      <w:b/>
      <w:bCs/>
      <w:sz w:val="24"/>
      <w:szCs w:val="24"/>
      <w:lang w:val="es-ES" w:eastAsia="es-ES"/>
    </w:rPr>
  </w:style>
  <w:style w:type="paragraph" w:styleId="Textoindependiente">
    <w:name w:val="Body Text"/>
    <w:basedOn w:val="Normal"/>
    <w:link w:val="TextoindependienteCar"/>
    <w:rsid w:val="00AE131B"/>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AE131B"/>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E131B"/>
    <w:pPr>
      <w:ind w:left="720"/>
    </w:pPr>
  </w:style>
  <w:style w:type="paragraph" w:styleId="Textonotapie">
    <w:name w:val="footnote text"/>
    <w:basedOn w:val="Normal"/>
    <w:link w:val="TextonotapieCar"/>
    <w:rsid w:val="00AE131B"/>
    <w:rPr>
      <w:sz w:val="20"/>
      <w:szCs w:val="20"/>
    </w:rPr>
  </w:style>
  <w:style w:type="character" w:customStyle="1" w:styleId="TextonotapieCar">
    <w:name w:val="Texto nota pie Car"/>
    <w:basedOn w:val="Fuentedeprrafopredeter"/>
    <w:link w:val="Textonotapie"/>
    <w:rsid w:val="00AE131B"/>
    <w:rPr>
      <w:rFonts w:ascii="Times New Roman" w:eastAsia="Times New Roman" w:hAnsi="Times New Roman" w:cs="Times New Roman"/>
      <w:sz w:val="20"/>
      <w:szCs w:val="20"/>
      <w:lang w:eastAsia="es-ES"/>
    </w:rPr>
  </w:style>
  <w:style w:type="character" w:styleId="Refdenotaalpie">
    <w:name w:val="footnote reference"/>
    <w:basedOn w:val="Fuentedeprrafopredeter"/>
    <w:rsid w:val="00AE131B"/>
    <w:rPr>
      <w:vertAlign w:val="superscript"/>
    </w:rPr>
  </w:style>
  <w:style w:type="paragraph" w:styleId="Textodeglobo">
    <w:name w:val="Balloon Text"/>
    <w:basedOn w:val="Normal"/>
    <w:link w:val="TextodegloboCar"/>
    <w:uiPriority w:val="99"/>
    <w:semiHidden/>
    <w:unhideWhenUsed/>
    <w:rsid w:val="00820D4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D48"/>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2329</Words>
  <Characters>12814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Abelardo Reyes</dc:creator>
  <cp:keywords/>
  <dc:description/>
  <cp:lastModifiedBy>Patricia M. Ruiz De Los Santos</cp:lastModifiedBy>
  <cp:revision>9</cp:revision>
  <dcterms:created xsi:type="dcterms:W3CDTF">2016-07-01T15:21:00Z</dcterms:created>
  <dcterms:modified xsi:type="dcterms:W3CDTF">2016-07-07T20:29:00Z</dcterms:modified>
</cp:coreProperties>
</file>